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</w:t>
      </w:r>
      <w:bookmarkStart w:id="0" w:name="_GoBack"/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внеочередного заседания Думы Великого Новгорода шестого созыва</w:t>
      </w:r>
      <w:bookmarkEnd w:id="0"/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24989" w:rsidRDefault="00724989" w:rsidP="0072498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15.04.2022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55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24989">
        <w:tc>
          <w:tcPr>
            <w:tcW w:w="351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4989">
        <w:tc>
          <w:tcPr>
            <w:tcW w:w="3510" w:type="dxa"/>
          </w:tcPr>
          <w:p w:rsidR="00724989" w:rsidRDefault="00724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24989" w:rsidRDefault="0072498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724989" w:rsidRDefault="0072498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724989" w:rsidRDefault="00724989" w:rsidP="007249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24989">
        <w:tc>
          <w:tcPr>
            <w:tcW w:w="3429" w:type="dxa"/>
          </w:tcPr>
          <w:p w:rsidR="00724989" w:rsidRDefault="0072498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724989">
        <w:tc>
          <w:tcPr>
            <w:tcW w:w="3429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24989" w:rsidRDefault="0072498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Бочаров Ю.В., Бурков Г.С.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 Макаревич Н.А.,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Молоканов С.А., Новикова С.А.,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Платонова Н.М., Ромашко А.К.,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Сучкова В.Ф., Федотов В.Л., 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724989">
        <w:tc>
          <w:tcPr>
            <w:tcW w:w="3429" w:type="dxa"/>
          </w:tcPr>
          <w:p w:rsidR="00724989" w:rsidRDefault="00724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724989" w:rsidRDefault="0072498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724989">
        <w:tc>
          <w:tcPr>
            <w:tcW w:w="3429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М.Н., Гофман А.Б., Екимова С.С., Ильин М.Е., Семенов Д.В., Яковенко М.Н.</w:t>
            </w:r>
          </w:p>
        </w:tc>
      </w:tr>
    </w:tbl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24989">
        <w:tc>
          <w:tcPr>
            <w:tcW w:w="342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Белкова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М.В., Васильев В.И.,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Старостин А.В., Черепанова А.Ф.,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24989" w:rsidRDefault="00724989" w:rsidP="0072498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24989" w:rsidRDefault="00724989" w:rsidP="0072498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исполняющий полномочия Мэра Великого Новгорода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Порядок проведения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отбору кандидатур на должность Главы городского округа Великий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  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избрания Главы городского округа Великий Новгород</w:t>
      </w: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решениях Избирательной комиссии Великого Новгорода и Окружной избирательной комиссии одномандатного избирательного округа № 3 (по Платоновой Н.М. и Белковой М.В.); об изменениях в составе депутатского объединения - фракции местного отделения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Новгорда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Всероссийской политической партии "Единая Россия" в Думе Великого Новгорода; о наличии письменных заявлений депутатов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Белковой М.В., Васильева В.И., Исакова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Л.В., Макарова В.В., Старостина А.В., Черепановой А.Ф.,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Чермашенцева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 об учете их голоса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голосовании (в связи с невозможностью личного присутствия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заседании Думы по уважительным причинам); о наличии проекта повестки, утвержденного советом Думы Великого Новгорода от 08.04.2022</w:t>
      </w: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принятие повестки заседания: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- 22, "против" - нет, "воздержались" - нет</w:t>
      </w:r>
    </w:p>
    <w:p w:rsidR="00724989" w:rsidRDefault="00724989" w:rsidP="0072498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повестку внеочередного заседания Думы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 15.04.2022 </w:t>
      </w: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проведения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отбору кандидатур на должность Главы городского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округа Великий Новгород  и избрания Главы городского </w:t>
      </w:r>
      <w:r>
        <w:rPr>
          <w:rFonts w:ascii="Tms Rmn" w:hAnsi="Tms Rmn" w:cs="Tms Rmn"/>
          <w:color w:val="000000"/>
          <w:sz w:val="26"/>
          <w:szCs w:val="26"/>
        </w:rPr>
        <w:br/>
        <w:t>округа Великий Новгород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Геннадьевич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выступил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докладом по проекту решения и внес устную </w:t>
      </w:r>
      <w:r>
        <w:rPr>
          <w:rFonts w:ascii="Tms Rmn" w:hAnsi="Tms Rmn" w:cs="Tms Rmn"/>
          <w:color w:val="000000"/>
          <w:sz w:val="26"/>
          <w:szCs w:val="26"/>
        </w:rPr>
        <w:br/>
        <w:t>поправку о новой редакции пункта 1.8 проекта решения:</w:t>
      </w:r>
      <w:r>
        <w:rPr>
          <w:rFonts w:ascii="Tms Rmn" w:hAnsi="Tms Rmn" w:cs="Tms Rmn"/>
          <w:color w:val="000000"/>
          <w:sz w:val="26"/>
          <w:szCs w:val="26"/>
        </w:rPr>
        <w:br/>
        <w:t>"4.22. Голосование по кандидатурам осуществляется путем заполнения именных бюллетеней по форме, утвержденной настоящим Порядком (приложение 5). Для подсчета результатов голосования создается счетная комиссия из членов конкурсной комиссии в составе трех человек."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Новикова С.А. - озвучила внесенную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от 13.04.2022 № 2;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С.Г.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Макаревич Н.А., Чернов А.А., Яковлева Т.В. - высказали собственные мнения по проекту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решении, принятом на заседании комиссии по жилищному хозяйству, архитектуре и землепользованию, - определиться на заседании Думы;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решении, принятом на заседании комиссии по законодательству и местному самоуправлению, - определиться на заседании Думы;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определиться на заседании Думы.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1)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- 30 (с учетом письменных заявлений Белковой М.В., Васильева В.И., Исакова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Макарова В.В., Старостина А.В., Черепановой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Ю.В.), "против" - нет, "воздержались" - нет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Новиковой С.А. от 13.04.2022 №2: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- 9 (с учетом письменных заявлений Макарова В.В., Старостина А.В., Черепановой А.Ф.), "против" - 14, "воздержались" - 2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устную поправку Председателя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4) за принятие проекта решения во втором чтении (в целом)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принятой устной поправки Председателя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- 22 (с учетом письменных заявлений Белковой М.В., Васильева В.И., Исакова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Ю.В.), "против" - 1 (с учетом письменного заявления Черепановой А.Ф.), "воздержались" - 7 (с учетом письменных заявлений Макарова В.В., Старостина А.В.)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устной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 новой редакции пункта 1.8. проекта решения</w:t>
      </w: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24989">
        <w:tc>
          <w:tcPr>
            <w:tcW w:w="3543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24989" w:rsidRDefault="00724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24989" w:rsidRDefault="00724989" w:rsidP="007249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724989"/>
    <w:sectPr w:rsidR="005032D6" w:rsidSect="002554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D6"/>
    <w:rsid w:val="003277C9"/>
    <w:rsid w:val="00724989"/>
    <w:rsid w:val="00E36757"/>
    <w:rsid w:val="00E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C636B-8025-4204-9516-7A3C8A91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2022-04-19T09:03:00Z</dcterms:created>
  <dcterms:modified xsi:type="dcterms:W3CDTF">2022-04-19T09:03:00Z</dcterms:modified>
</cp:coreProperties>
</file>