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06A85" w:rsidRDefault="00706A85" w:rsidP="00706A8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28.03.2019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9</w:t>
      </w:r>
    </w:p>
    <w:p w:rsidR="00706A85" w:rsidRDefault="00706A85" w:rsidP="00706A8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706A85" w:rsidTr="00704524">
        <w:trPr>
          <w:gridBefore w:val="1"/>
          <w:wBefore w:w="9" w:type="dxa"/>
        </w:trPr>
        <w:tc>
          <w:tcPr>
            <w:tcW w:w="3510" w:type="dxa"/>
            <w:gridSpan w:val="2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06A85" w:rsidTr="00704524">
        <w:trPr>
          <w:gridBefore w:val="1"/>
          <w:wBefore w:w="9" w:type="dxa"/>
        </w:trPr>
        <w:tc>
          <w:tcPr>
            <w:tcW w:w="3510" w:type="dxa"/>
            <w:gridSpan w:val="2"/>
          </w:tcPr>
          <w:p w:rsidR="00706A85" w:rsidRDefault="00706A8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706A85" w:rsidRDefault="00706A8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</w:p>
          <w:p w:rsidR="00706A85" w:rsidRDefault="00706A8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  <w:p w:rsidR="00704524" w:rsidRDefault="007045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04524" w:rsidRDefault="00704524" w:rsidP="007045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04524" w:rsidRDefault="00704524" w:rsidP="007045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04524" w:rsidRDefault="00704524" w:rsidP="007045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704524" w:rsidRDefault="00704524" w:rsidP="007045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04524" w:rsidRDefault="00704524" w:rsidP="007045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06A85" w:rsidTr="00704524">
        <w:trPr>
          <w:gridAfter w:val="1"/>
          <w:wAfter w:w="6" w:type="dxa"/>
        </w:trPr>
        <w:tc>
          <w:tcPr>
            <w:tcW w:w="3429" w:type="dxa"/>
            <w:gridSpan w:val="2"/>
          </w:tcPr>
          <w:p w:rsidR="00706A85" w:rsidRDefault="00706A8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706A85" w:rsidRDefault="00706A85" w:rsidP="00706A8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А.В. Афанасьев, Т.В. Яковлева</w:t>
            </w:r>
          </w:p>
        </w:tc>
      </w:tr>
      <w:tr w:rsidR="00706A85" w:rsidTr="00704524">
        <w:trPr>
          <w:gridAfter w:val="1"/>
          <w:wAfter w:w="6" w:type="dxa"/>
        </w:trPr>
        <w:tc>
          <w:tcPr>
            <w:tcW w:w="3429" w:type="dxa"/>
            <w:gridSpan w:val="2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706A85" w:rsidRDefault="00706A8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706A85" w:rsidRDefault="00706A85" w:rsidP="00706A8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Бочаров Ю.В., Васильев В.И., Гетманский А.В., Дорошина Т.А.,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Сучкова В.Ф.,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Авдеев И.Н., Ефимов И.С.,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706A85" w:rsidTr="00704524">
        <w:trPr>
          <w:gridAfter w:val="1"/>
          <w:wAfter w:w="6" w:type="dxa"/>
        </w:trPr>
        <w:tc>
          <w:tcPr>
            <w:tcW w:w="3429" w:type="dxa"/>
            <w:gridSpan w:val="2"/>
          </w:tcPr>
          <w:p w:rsidR="00706A85" w:rsidRDefault="00706A8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  <w:gridSpan w:val="3"/>
          </w:tcPr>
          <w:p w:rsidR="00706A85" w:rsidRDefault="00706A85" w:rsidP="00706A8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Т.С. Дубровина</w:t>
            </w:r>
          </w:p>
        </w:tc>
      </w:tr>
      <w:tr w:rsidR="00706A85" w:rsidTr="00704524">
        <w:trPr>
          <w:gridAfter w:val="1"/>
          <w:wAfter w:w="6" w:type="dxa"/>
        </w:trPr>
        <w:tc>
          <w:tcPr>
            <w:tcW w:w="3429" w:type="dxa"/>
            <w:gridSpan w:val="2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706A85" w:rsidRDefault="00706A85" w:rsidP="00706A8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Гофман А.Б.,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Ильин М.Е.</w:t>
            </w:r>
          </w:p>
        </w:tc>
      </w:tr>
    </w:tbl>
    <w:p w:rsidR="00706A85" w:rsidRDefault="00706A85" w:rsidP="00706A8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06A85" w:rsidRDefault="00706A85" w:rsidP="00706A8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06A85">
        <w:tc>
          <w:tcPr>
            <w:tcW w:w="3420" w:type="dxa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Глушенков Н.И., Золотарев С.В., Исаков В.В., Старостин А.В., Федотов В.Л.</w:t>
            </w:r>
          </w:p>
        </w:tc>
      </w:tr>
    </w:tbl>
    <w:p w:rsidR="00706A85" w:rsidRDefault="00706A85" w:rsidP="00706A8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06A85" w:rsidRDefault="00706A85" w:rsidP="00706A8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06A85" w:rsidRDefault="00706A85" w:rsidP="00706A8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Почётных граждан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директор МКУ Великого Новгорода "Управление </w:t>
      </w:r>
      <w:r>
        <w:rPr>
          <w:rFonts w:ascii="Tms Rmn" w:hAnsi="Tms Rmn" w:cs="Tms Rmn"/>
          <w:color w:val="000000"/>
          <w:sz w:val="26"/>
          <w:szCs w:val="26"/>
        </w:rPr>
        <w:br/>
        <w:t>по хозяйственному и транспортному обеспечению Администрации Великого Новгорода"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Воробьева М.П.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по образованию Администрации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Кривицкий Я.С.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Кузиков Е.И.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Путятин И.Н.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МКУ "Управление по делам ГО и ЧС Великого Новгорода"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итогах выполнения Программы приватизации муниципального имущества Великого Новгорода в 2018 году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2019 году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имущества из муниципальной собственности Великого Новгорода в государственную собственность Новгородской области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77 "О бюджете Великого Новгорода на 2019 год и на плановый период 2020 </w:t>
      </w:r>
      <w:r>
        <w:rPr>
          <w:rFonts w:ascii="Tms Rmn" w:hAnsi="Tms Rmn" w:cs="Tms Rmn"/>
          <w:color w:val="000000"/>
          <w:sz w:val="26"/>
          <w:szCs w:val="26"/>
        </w:rPr>
        <w:br/>
        <w:t>и 2021 годов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01.02.2011 </w:t>
      </w:r>
      <w:r>
        <w:rPr>
          <w:rFonts w:ascii="Tms Rmn" w:hAnsi="Tms Rmn" w:cs="Tms Rmn"/>
          <w:color w:val="000000"/>
          <w:sz w:val="26"/>
          <w:szCs w:val="26"/>
        </w:rPr>
        <w:br/>
        <w:t>№ 904 "Об учреждении именной стипендии Мэра Великого Новгорода"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отчёте о работе Контрольно-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счётной  палаты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в 2018 году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01.02.2011 </w:t>
      </w:r>
      <w:r>
        <w:rPr>
          <w:rFonts w:ascii="Tms Rmn" w:hAnsi="Tms Rmn" w:cs="Tms Rmn"/>
          <w:color w:val="000000"/>
          <w:sz w:val="26"/>
          <w:szCs w:val="26"/>
        </w:rPr>
        <w:br/>
        <w:t>№ 903 "О Контрольно-счетной палате Великого Новгорода"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публичных слушаниях в Великом Новгороде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объявил: 1) о наличии заявлений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Глушенова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Н.И., Золотарева С.В., Федотова В.Л. о том,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что в связи с невозможностью их личного присутствия на заседании Думы 28.03.2019, они выразили свои волеизъявления, которые будут учтены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 подведении окончательных итогов голосования (копия прилагается);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снятии исполнителем проекта решения № 2; 3) о замене докладчиков: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соответствии с письмом Администрации Великого Новгорода от 26.03.2019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М22-1601-И докладчиком по проектам решений №№ 1, 3 выступит председатель комитета по управлению муниципальным имуществом и земельными ресурсами Великого Новгорода Кривицкий Я.С., по вопросу № 5 выступит председатель комитета культуры и молодежной политики Администрации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К.В.; 4) включить в раздел "Разное" следующие вопросы: а) выступление Председателя Думы Великого Новгорода с ежегодным отчётом о деятельности Думы Великого Новгорода за 2018 год; б) о рассмотрении требования прокурора Великого Новгорода от 07.03.2019 № 22-03-2019 об изменении нормативного правового акта с целью исключения выявленных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факторов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(о внесении изменений  в ряд пунктов Положения о порядке установления попечительства в форме патронажа  над совершеннолетними дееспособными гражданами в Великом Новгороде, утвержденного решением Новгородской городской Думы от 09.08.2001 № 193, в связи с выявлением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факторов) и рассмотрении предложения прокурора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07.03.2019 № 22-05-2019 в порядке статьи 9 Федерального закона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 прокуратуре Российской Федерации" (о внесении  изменений в указанное Положение в целях приведения в соответствие с действующим законодательством); в) о рассмотрении требования прокурора Великого Новгорода от 07.03.2019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22-03-2019 об изменении нормативного правового акта с целью исключения выявленных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факторов (о признании утратившими силу Методики оценки стоимости жилья, передаваемого в собственность граждан,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и Коэффициентов, учитывающих потребительские качества жилищного фонда, подлежащего приватизации, утвержденных решением Новгородской городской Думы от 22.11.1996 № 18); г) о рассмотрении обращения главного редактора газеты «Новгород» Боголюбова Михаила Александровича  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соучредительстве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сетевого издания интернет газеты «Новгород»; д) о выполнении Администрацией Великого Новгорода протокольного решения постоянной комиссии по жилищному хозяйству, архитектуре и землепользованию Думы Великого Новгорода, принятого 21.03.2019, об информировании депутатов по вопросу аварийного состояния центрального крыльца в МАОУ «Средняя общеобразовательная школа № 23",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его ремонта, а также об информировании в целом о потребности в капитальном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и текущем ремонте в общеобразовательных и дошкольных учреждениях.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Черепанова А.Ф. - о рабочей группе по инициативному бюджету - предложила включить в состав рабочей группы представителей от всех депутатских объединений. 3. Богомолов В.В. - предложил включить в раздел разное вопрос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развитии инфраструктуры земельных участков, ранее предоставленных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для индивидуального жилищного строительства гражданам льготных категорий, проживающих в Великом Новгороде, в рамках исполнения Указа Президента Российской Федерации от 07.05.2012 года № 600 " О мерах по обеспечению граждан Российской Федерации доступным и комфортным жильём и повышению качества жилищно-коммунальных услуг" и областного закона Новгородской области от 27.04.2015  № 763 "О предоставлении земельных участков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территории Новгородской области".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нет, "не голосовал" - 1</w:t>
      </w:r>
    </w:p>
    <w:p w:rsidR="00706A85" w:rsidRDefault="00706A85" w:rsidP="00706A8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итогах выполнения Программы приватизации муниципального имущества Великого Новгорода в 2018 году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Кривицкий Яков Сергеевич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письменного заявления Глушенкова Н.И.),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предложении о безвозмездной передаче имущества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муниципальной собственности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государственную собственность Новгородской области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Кривицкий Я.С.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Путятин И.Н.;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письменного заявления Глушенкова Н.И.),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26.12.2018 № 77 "О бюджете Великого Новгорода на 2019 год и на плановый период 2020 и 2021 годов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Макаревич Н.А.;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 с учетом поправки Администрации Великого Новгорода от 19.03.2019 № 444; Васильев В.И., Молоканов С.А., Володько Е.А., Смирнова Г.Г.,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 за проект решения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19.03.2019 № 444: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- 27 (с учетом письменных заявлений Глушенкова Н.И., Золотарев С.В., Федотова В.Л.), "против" - нет,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Черепановой А.Ф. № 1 (об уменьшении расходов на содержание МКУ "Управление по хозяйственному и транспортному обеспечению Администрации Великого Новгорода"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):</w:t>
      </w:r>
      <w:r>
        <w:rPr>
          <w:rFonts w:ascii="Tms Rmn" w:hAnsi="Tms Rmn" w:cs="Tms Rmn"/>
          <w:color w:val="000000"/>
          <w:sz w:val="26"/>
          <w:szCs w:val="26"/>
        </w:rPr>
        <w:br/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 - 4, "против" - 21 (с учетом письменных заявлений Золотарева С.В., Федотова В.Л.), "воздержались" - 1;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поправку Черепановой А.Ф. № 2 (об увеличении расходов на субсидии некоммерческим организациям, не являющимся государственными (муниципальными)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учреждениями </w:t>
      </w:r>
      <w:r>
        <w:rPr>
          <w:rFonts w:ascii="Tms Rmn" w:hAnsi="Tms Rmn" w:cs="Tms Rmn"/>
          <w:color w:val="000000"/>
          <w:sz w:val="26"/>
          <w:szCs w:val="26"/>
        </w:rPr>
        <w:br/>
        <w:t>на обеспечение пребывания инвалидов):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- 1, "против" - 11 (с учетом письменных заявлений Золотарева С.В., Федотова В.Л.), "воздержались" - 14;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проект решения в целом: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- 26 (с учетом письменных заявлений Глушенкова Н.И., Золотарева С.В., Федотова В.Л.), "против" - 1,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4 - 22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  <w:t>Бочаров Ю.В.)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поправки Администрации Великого Новгорода от 19.03.2019 № 444.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комиссии по экономике и финансам рассмотреть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комиссии в апреле 2019 года вопрос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возможности использования модели обеспечения автотранспортными средствами работников Администрации Великого Новгорода, заключающейся в переходе </w:t>
      </w:r>
      <w:r>
        <w:rPr>
          <w:rFonts w:ascii="Tms Rmn" w:hAnsi="Tms Rmn" w:cs="Tms Rmn"/>
          <w:color w:val="000000"/>
          <w:sz w:val="26"/>
          <w:szCs w:val="26"/>
        </w:rPr>
        <w:br/>
        <w:t>от служебного транспорта к пользованию услугами такси.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Рекомендовать Администрации Великого Новгорода представить до заседания комиссии по экономике и финансам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апреле 2019 года коммерческие предложения, полученные </w:t>
      </w:r>
      <w:r>
        <w:rPr>
          <w:rFonts w:ascii="Tms Rmn" w:hAnsi="Tms Rmn" w:cs="Tms Rmn"/>
          <w:color w:val="000000"/>
          <w:sz w:val="26"/>
          <w:szCs w:val="26"/>
        </w:rPr>
        <w:br/>
        <w:t>от транспортных компаний, с подробным изложением условий предоставления услуг по обеспечению автотранспортными средствами работников Администрации Великого Новгорода.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4. Поручить комиссии по социальным вопросам провести выездное заседание на территории негосударственного учреждения "Социально-оздоровительный центр инвалидов "Родничок" с целью рассмотрения вопроса о сложившейся ситуации в учреждении.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01.02.2011 № 904 "Об учреждении именной стипендии Мэра Великого Новгорода"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Ромашко А.К., Черепанова А.Ф.,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решении комиссий по экономике и финансам,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и по социальным вопросам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письменного заявления Глушенкова Н.И.),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отчёте о работе Контрольно-счётной  палаты Великого Новгорода в 2018 году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Черепанова А.Ф.; Чернов А.А., Дорошина Т.А., Богомолов В.В. - о решении комиссий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по социальным вопросам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по жилищному хозяйству, архитектуре и землепользованию - поддержать проект решения;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 о решении комиссий по законодательству и местному самоуправлению - поддержать проект решения (принять отчёт к сведению)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письменного заявления Глушенкова Н.И.),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Контрольно-счетной палатой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01.02.2011 № 903 "О Контрольно-счетной палате Великого Новгорода"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А.В.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письменного заявления Глушенкова Н.И.),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Контрольно-счетной палатой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публичных слушаниях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 (с учетом письменного заявления Глушенкова Н.И.),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 (Васильев В.И.)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решении комиссий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письменного заявления Глушенкова Н.И.),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Богомоловым В.В.,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Макаревич Никита Андреевич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Макаревичем Н.А.,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Молоканов Сергей Александрович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Молокановым С.А.,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Соловьёв Станислав Сергеевич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Соловьевым С.С.,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Макаров Виталий Владимирович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Старостиным А.В.,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Черновым А.А.,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законодательсту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поддержать проект решения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22.1.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СЛУШАЛИ: Выступление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ежегодным отчётом о деятельности Думы Великого Новгорода за 2018 год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Положении о порядке ежегодного отчёта о деятельности Думы Великого, утверждённым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06.04.2016 № 783; предложил увеличить отведенное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выступление время до 15 минут; предложил определить количество устных вопросов от депутатов; доложил отчёт </w:t>
      </w:r>
      <w:r>
        <w:rPr>
          <w:rFonts w:ascii="Tms Rmn" w:hAnsi="Tms Rmn" w:cs="Tms Rmn"/>
          <w:color w:val="000000"/>
          <w:sz w:val="26"/>
          <w:szCs w:val="26"/>
        </w:rPr>
        <w:br/>
        <w:t>о деятельности Думы Великого Новгорода за 2018 год; ответил на заданные депутатами вопросы;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Соловьев С.С. - предложил задать по одному вопросу от депутатских объединений и независимых депутатов; Чернов А.А. - предложил не увеличивать отведенное на выступление время; 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Макаров В.В. - задал вопрос от фракции КПРФ - </w:t>
      </w:r>
      <w:r>
        <w:rPr>
          <w:rFonts w:ascii="Tms Rmn" w:hAnsi="Tms Rmn" w:cs="Tms Rmn"/>
          <w:color w:val="000000"/>
          <w:sz w:val="26"/>
          <w:szCs w:val="26"/>
        </w:rPr>
        <w:br/>
        <w:t>о соответствии количественного состава аппарата Думы задачам, поставленным Думе Великого Новгорода;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Гетманский А.В. - задал вопрос от фракции "Единая Россия"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том, повлияло ли сокращение количества заместителей Председателя с трех до двух по сравнению с V созывом </w:t>
      </w:r>
      <w:r>
        <w:rPr>
          <w:rFonts w:ascii="Tms Rmn" w:hAnsi="Tms Rmn" w:cs="Tms Rmn"/>
          <w:color w:val="000000"/>
          <w:sz w:val="26"/>
          <w:szCs w:val="26"/>
        </w:rPr>
        <w:br/>
        <w:t>на выполнение поставленных задач;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задал вопрос от фракции "Справедливая Россия" - о потребности в финансовых средствах на обеспечение работы аппарата Думы;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задал вопрос от фракции ЛДПР - о работе Молодежной палаты при Думе Великого Новгорода;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задала вопрос от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отсутствии информации в отчете о конкретных выполненных задачах (в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т.ч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правотворческие законодательные инициативы) Председателем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и его заместителями.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предложение депутата Соловьева С.С. (задать по одному вопросу от депутатских объединений и независимых депутатов):</w:t>
      </w:r>
      <w:r>
        <w:rPr>
          <w:rFonts w:ascii="Tms Rmn" w:hAnsi="Tms Rmn" w:cs="Tms Rmn"/>
          <w:color w:val="000000"/>
          <w:sz w:val="26"/>
          <w:szCs w:val="26"/>
        </w:rPr>
        <w:br/>
        <w:t>"за" - 24, "против" - нет, "воздержались" - нет;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утверждение отчёта о деятельности Думы Великого Новгорода за 2018 год: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 (с учетом письменных заявлений Глушенков Н.И., Золотарева С.В., Федотова В.Л.), "против" - нет, "воздержались" - нет;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признание работы Председателя Думы Великого Новгорода, заместителей Председателя Думы Великого Новгорода в 2018 году "удовлетворительной":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 (с учетом письменных заявлений Глушенкова Н.И., Золотарева С.В., Федотова В.Л.), "против" - нет, "воздержались" - нет, "не голосовал" - 1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А.Г.)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 Утвердить отчёт о деятельности Думы Великого Новгорода за 2018 год.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Признать работу Председателя Думы Великого Новгорода, заместителей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2018 году "удовлетворительной".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22.2. СЛУШАЛИ: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требования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07.03.2019 № 22-03-2019 об изменении нормативного правового акта с целью исключения выявленных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 (о внесении изменений  в ряд пунктов Положения о порядке установления попечительства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форме патронажа  над совершеннолетними дееспособными гражданами в Великом Новгороде, утвержденного решением Новгородской городской Думы от 09.08.2001 № 193, в связи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выявлением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факторов) и рассмотрении предложения прокурора Великого Новгорода от 07.03.2019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22-05-2019 в порядке статьи 9 Федерального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 прокуратуре Российской Федерации" (о внесении  изменений в указанное Положение в целях приведения </w:t>
      </w:r>
      <w:r>
        <w:rPr>
          <w:rFonts w:ascii="Tms Rmn" w:hAnsi="Tms Rmn" w:cs="Tms Rmn"/>
          <w:color w:val="000000"/>
          <w:sz w:val="26"/>
          <w:szCs w:val="26"/>
        </w:rPr>
        <w:br/>
        <w:t>в соответствие с действующим законодательством)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Согласиться с требованием прокурора Великого Новгорода (учитывая, что органы местного самоуправления не наделены полномочиями регламентировать процедуру установления патронажа).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во II квартале 2019 года проект решения о признании утратившим силу решения Новгородской городской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09.08.2001 № 193 «Об утверждении Положения о порядке установления попечительства в форме патронажа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над совершеннолетними дееспособными гражданами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Новгороде».".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22.3.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требования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07.03.2019 № 22-03-2019 об изменении нормативного правового акта с целью исключения выявленных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 (о признании утратившими силу Методики оценки стоимости жилья, передаваемого </w:t>
      </w:r>
      <w:r>
        <w:rPr>
          <w:rFonts w:ascii="Tms Rmn" w:hAnsi="Tms Rmn" w:cs="Tms Rmn"/>
          <w:color w:val="000000"/>
          <w:sz w:val="26"/>
          <w:szCs w:val="26"/>
        </w:rPr>
        <w:br/>
        <w:t>в собственность граждан, и Коэффициентов, учитывающих потребительские качества жилищного фонда, подлежащего приватизации, утвержденных решением Новгородской городской Думы от 22.11.1996 № 18)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Согласиться с требованием прокурора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во II квартале 2019 года проект решения о признании утратившим силу решения Новгородской городской Думы от 22.11.1996 № 18 «Об утверждении Методики оценки стоимости жилья и коэффициентов, учитывающих потребительские качества жилищного фонда, подлежащего приватизации».".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22.4.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обращения главного редактора газеты «Новгород» Боголюбова Михаила Александровича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соучредительстве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сетевого издания интернет газеты «Новгород»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"Рекомендовать Администрации Великого Новгорода выступить соучредителем сетевого издания Интернет-газеты «Новгород».".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постоянной комиссии по жилищному хозяйству, архитектуре и землепользованию Думы Великого Новгорода, принятого 21.03.2019, об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информировании депутатов по вопросу аварийного состояния центрального крыльца в МАОУ «Средняя общеобразовательная школа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23", его ремонта, а также </w:t>
      </w:r>
      <w:r>
        <w:rPr>
          <w:rFonts w:ascii="Times New Roman" w:hAnsi="Times New Roman" w:cs="Times New Roman"/>
          <w:color w:val="000000"/>
          <w:sz w:val="26"/>
          <w:szCs w:val="26"/>
        </w:rPr>
        <w:t>об информировании</w:t>
      </w:r>
      <w:r>
        <w:rPr>
          <w:rFonts w:ascii="Tms Rmn" w:hAnsi="Tms Rmn" w:cs="Tms Rmn"/>
          <w:color w:val="000000"/>
          <w:sz w:val="26"/>
          <w:szCs w:val="26"/>
        </w:rPr>
        <w:t xml:space="preserve"> в целом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потребности в капитальном и текущем ремонте </w:t>
      </w:r>
      <w:r>
        <w:rPr>
          <w:rFonts w:ascii="Tms Rmn" w:hAnsi="Tms Rmn" w:cs="Tms Rmn"/>
          <w:color w:val="000000"/>
          <w:sz w:val="26"/>
          <w:szCs w:val="26"/>
        </w:rPr>
        <w:br/>
        <w:t>в общеобразовательных и дошкольных учреждениях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Воробьева Марина Петровна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Кузиков Е.И.,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Черепанова А.Ф., Гетманский А.В.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Рекомендовать Администрации Великого Новгорода представить информацию по результатам проведения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ремонту центрального крыльца в МАОУ «Средняя общеобразовательная школа № 23.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Вернуться к рассмотрению данного вопроса на заседании комиссии по жилищному хозяйству, архитектуре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землепользованию после получения информации </w:t>
      </w:r>
      <w:r>
        <w:rPr>
          <w:rFonts w:ascii="Tms Rmn" w:hAnsi="Tms Rmn" w:cs="Tms Rmn"/>
          <w:color w:val="000000"/>
          <w:sz w:val="26"/>
          <w:szCs w:val="26"/>
        </w:rPr>
        <w:br/>
        <w:t>от Администрации Великого Новгорода о проведенных работах.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22.6.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развитии инфраструктуры земельных участков, ранее предоставленных для индивидуального жилищного строительства гражданам льготных категорий, проживающих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Великом Новгороде, в рамках исполнения Указа Президента Российской Федерации от 07.05.2012 года № 600 "О мерах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обеспечению граждан Российской Федерации доступным </w:t>
      </w:r>
      <w:r>
        <w:rPr>
          <w:rFonts w:ascii="Tms Rmn" w:hAnsi="Tms Rmn" w:cs="Tms Rmn"/>
          <w:color w:val="000000"/>
          <w:sz w:val="26"/>
          <w:szCs w:val="26"/>
        </w:rPr>
        <w:br/>
        <w:t>и комфортным жильём и повышению качества жилищно-коммунальных услуг" и областного закона Новгородской области от 27.04.2015  № 763 "О предоставлении земельных участков на территории Новгородской области"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сведению</w:t>
      </w: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06A85" w:rsidRDefault="00706A85" w:rsidP="00706A8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06A85">
        <w:tc>
          <w:tcPr>
            <w:tcW w:w="3543" w:type="dxa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06A85" w:rsidRDefault="00706A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F2249" w:rsidRDefault="00706A85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2F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95"/>
    <w:rsid w:val="002F2249"/>
    <w:rsid w:val="00704524"/>
    <w:rsid w:val="00706A85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9B3A0-A002-451B-AA66-A0479CF1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3885</Words>
  <Characters>22148</Characters>
  <Application>Microsoft Office Word</Application>
  <DocSecurity>0</DocSecurity>
  <Lines>184</Lines>
  <Paragraphs>51</Paragraphs>
  <ScaleCrop>false</ScaleCrop>
  <Company/>
  <LinksUpToDate>false</LinksUpToDate>
  <CharactersWithSpaces>25982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2019-04-01T12:20:00Z</dcterms:created>
  <dcterms:modified xsi:type="dcterms:W3CDTF">2019-04-01T12:23:00Z</dcterms:modified>
</cp:coreProperties>
</file>