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E0" w:rsidRDefault="00291DE0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291DE0" w:rsidRDefault="00291DE0">
      <w:pPr>
        <w:pStyle w:val="ConsPlusNormal"/>
        <w:jc w:val="right"/>
      </w:pPr>
      <w:r>
        <w:t>решением</w:t>
      </w:r>
    </w:p>
    <w:p w:rsidR="00291DE0" w:rsidRDefault="00291DE0">
      <w:pPr>
        <w:pStyle w:val="ConsPlusNormal"/>
        <w:jc w:val="right"/>
      </w:pPr>
      <w:r>
        <w:t>Думы Великого Новгорода</w:t>
      </w:r>
    </w:p>
    <w:p w:rsidR="00291DE0" w:rsidRDefault="00291DE0">
      <w:pPr>
        <w:pStyle w:val="ConsPlusNormal"/>
        <w:jc w:val="right"/>
      </w:pPr>
      <w:r>
        <w:t>от 23.08.2012 N 1350</w:t>
      </w:r>
    </w:p>
    <w:p w:rsidR="00291DE0" w:rsidRDefault="00291DE0">
      <w:pPr>
        <w:pStyle w:val="ConsPlusNormal"/>
        <w:jc w:val="right"/>
      </w:pPr>
      <w:r>
        <w:t>(в редакции решений от 26.11.2013 № 69,</w:t>
      </w:r>
    </w:p>
    <w:p w:rsidR="00291DE0" w:rsidRDefault="00291DE0">
      <w:pPr>
        <w:pStyle w:val="ConsPlusNormal"/>
        <w:jc w:val="right"/>
      </w:pPr>
      <w:r>
        <w:t>от 04.06.2014 № 269, от 29.12.2014 № 408,</w:t>
      </w:r>
    </w:p>
    <w:p w:rsidR="00291DE0" w:rsidRDefault="00291DE0">
      <w:pPr>
        <w:pStyle w:val="ConsPlusNormal"/>
        <w:jc w:val="right"/>
      </w:pPr>
      <w:r>
        <w:t>от 30.04.2015 № 487, от 06.05.2016 № 824,</w:t>
      </w:r>
    </w:p>
    <w:p w:rsidR="00291DE0" w:rsidRDefault="00291DE0">
      <w:pPr>
        <w:pStyle w:val="ConsPlusNormal"/>
        <w:jc w:val="right"/>
      </w:pPr>
      <w:r>
        <w:t>от 26.12.2017 № 1344, от 28.03.2019 № 128,</w:t>
      </w:r>
    </w:p>
    <w:p w:rsidR="00291DE0" w:rsidRDefault="00291DE0">
      <w:pPr>
        <w:pStyle w:val="ConsPlusNormal"/>
        <w:jc w:val="right"/>
      </w:pPr>
      <w:r>
        <w:t>от 24.08.2023 № 911, от 26.03.2024 № 128)</w:t>
      </w: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Title"/>
        <w:jc w:val="center"/>
      </w:pPr>
      <w:bookmarkStart w:id="1" w:name="P39"/>
      <w:bookmarkEnd w:id="1"/>
      <w:r>
        <w:t>ПОРЯДОК</w:t>
      </w:r>
    </w:p>
    <w:p w:rsidR="00291DE0" w:rsidRDefault="00291DE0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291DE0" w:rsidRDefault="00291DE0">
      <w:pPr>
        <w:pStyle w:val="ConsPlusTitle"/>
        <w:jc w:val="center"/>
      </w:pPr>
      <w:r>
        <w:t>ПОВЕДЕНИЮ МУНИЦИПАЛЬНЫХ СЛУЖАЩИХ АППАРАТА ДУМЫ ВЕЛИКОГО</w:t>
      </w:r>
    </w:p>
    <w:p w:rsidR="00291DE0" w:rsidRDefault="00291DE0">
      <w:pPr>
        <w:pStyle w:val="ConsPlusTitle"/>
        <w:jc w:val="center"/>
      </w:pPr>
      <w:r>
        <w:t>НОВГОРОДА И УРЕГУЛИРОВАНИЮ КОНФЛИКТА ИНТЕРЕСОВ</w:t>
      </w:r>
    </w:p>
    <w:p w:rsidR="00291DE0" w:rsidRDefault="00291DE0">
      <w:pPr>
        <w:pStyle w:val="ConsPlusNormal"/>
        <w:spacing w:after="1"/>
      </w:pP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Normal"/>
        <w:ind w:firstLine="540"/>
        <w:jc w:val="both"/>
      </w:pPr>
      <w:r>
        <w:t>1. Настоящий Порядок определяет основания, процедуру подготовки и проведения заседаний, порядок принятия решений и полномочия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 (далее - комиссия).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Новгородской области, </w:t>
      </w:r>
      <w:hyperlink r:id="rId5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решениями Думы Великого Новгорода, настоящим Порядком.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" w:name="P51"/>
      <w:bookmarkEnd w:id="2"/>
      <w:r>
        <w:t>3. Основаниями для проведения заседания комиссии являются: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а) представление Председателем Думы Великого Новгорода 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Новгородской области, и соблюдения муниципальными служащими Новгородской области требований к служебному поведению, утвержденным постановлением Новгородской областной Думы от 25.04.2012 N 140-5 ОД, материалов проверки, свидетельствующих: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4" w:name="P53"/>
      <w:bookmarkEnd w:id="4"/>
      <w:r>
        <w:t>о представлении муниципальным служащим аппарата Думы Великого Новгорода (далее - муниципальный служащий), включенным в установленный решением Думы Великого Новгорода Перечень должностей муниципальной службы, при назначении на которые граждане и при замещении которых муниципальные служащие аппарата Думы Великого Новгорода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недостоверных или неполных сведений о доходах, об имуществе и обязательствах имущественного характера;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5" w:name="P54"/>
      <w:bookmarkEnd w:id="5"/>
      <w:r>
        <w:t>о несоблюдении муниципальным служащим требований к служебному поведению и (или) требований о предотвращении или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6" w:name="P56"/>
      <w:bookmarkEnd w:id="6"/>
      <w:r>
        <w:t>б) поступившее в Думу Великого Новгорода: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7" w:name="P57"/>
      <w:bookmarkEnd w:id="7"/>
      <w:r>
        <w:t>заявление муниципального служащего, включенного в Перечень,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8" w:name="P59"/>
      <w:bookmarkEnd w:id="8"/>
      <w: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9" w:name="P61"/>
      <w:bookmarkEnd w:id="9"/>
      <w:r>
        <w:t>в) представление Председателя Думы Великого Новгорода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Думе Великого Новгорода мер по предупреждению коррупции;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0" w:name="P62"/>
      <w:bookmarkEnd w:id="10"/>
      <w:r>
        <w:t xml:space="preserve">г) поступившее в адрес комиссии предложение лица, принявшего решение об осуществлении контроля за расходами муниципального служащего, включенного в Перечень, рассмотреть результаты, полученные в ходе осуществления контроля за расходами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1" w:name="P63"/>
      <w:bookmarkEnd w:id="11"/>
      <w:r>
        <w:t xml:space="preserve">д) обращение в Думу Великого Новгорода гражданина, замещавшего в аппарате Думы Великого Новгорода должность муниципальной службы, включенную в Перечень должностей муниципальной службы в аппарате Думы Великого Новгорода, после увольнения с которой гражданин обязан соблюдать ограничения, предусмотренные </w:t>
      </w:r>
      <w:hyperlink r:id="rId8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одного месяца стоимостью более 100,0 тыс. рублей на условиях гражданско-правового договора (гражданско-правовых договоров), если отдельные функции управления данной организацией входили в его должностные (служебные) обязанности, до истечения двух лет со дня увольнения с муниципальной службы.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2" w:name="P65"/>
      <w:bookmarkEnd w:id="12"/>
      <w:r>
        <w:t xml:space="preserve">е) поступившее в соответствии с </w:t>
      </w:r>
      <w:hyperlink r:id="rId9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10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Думу Великого Новгорода уведомление коммерческой или некоммерческой организации о заключении с гражданином, замещавшим должность муниципальной службы в аппарате Думы Великого Новгорода,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аппарате Думы Великого Новгорода, при условии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3" w:name="P67"/>
      <w:bookmarkEnd w:id="13"/>
      <w:r>
        <w:t>ж) поступившее в адрес комиссии уведомление муниципального служащего,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 возникновении не зависящих от него обстоятельств, препятствующих соблюдению таких ограничений, запретов и требований, исполнению обязанностей.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4" w:name="P70"/>
      <w:bookmarkEnd w:id="14"/>
      <w:r>
        <w:t xml:space="preserve">3-1. Абзац исключен. - </w:t>
      </w:r>
      <w:hyperlink r:id="rId11">
        <w:r>
          <w:rPr>
            <w:color w:val="0000FF"/>
          </w:rPr>
          <w:t>Решение</w:t>
        </w:r>
      </w:hyperlink>
      <w:r>
        <w:t xml:space="preserve"> Думы Великого Новгорода от 06.05.2016 N 824.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подается гражданином, замещавшим должность муниципальной службы в аппарате Думы, в Думу Великого Новгорода.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</w:t>
      </w:r>
      <w:r>
        <w:lastRenderedPageBreak/>
        <w:t>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Лицо, отвечающее за кадровую работу в аппарате Думы Великого Новгорода, осуществляет рассмотрение обращения, по результатам которого подготавливает мотивированное заключение по существу обращения с учетом требований </w:t>
      </w:r>
      <w:hyperlink r:id="rId1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может быть подано муниципальным служащим, замещающим должность муниципальной службы, включенную в Перечень должностей муниципальной службы в аппарате Думы Великого Новгорода, после увольнения с которой гражданин обязан соблюдать ограничения, предусмотренные </w:t>
      </w:r>
      <w:hyperlink r:id="rId13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коррупции", планирующим свое увольнение с муниципальной службы, и подлежит рассмотрению комиссией в соответствии с настоящим Порядком.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5" w:name="P75"/>
      <w:bookmarkEnd w:id="15"/>
      <w:r>
        <w:t xml:space="preserve">3-2. Уведомление, указанное в </w:t>
      </w:r>
      <w:hyperlink w:anchor="P65">
        <w:r>
          <w:rPr>
            <w:color w:val="0000FF"/>
          </w:rPr>
          <w:t>подпункте "е" пункта 3</w:t>
        </w:r>
      </w:hyperlink>
      <w:r>
        <w:t xml:space="preserve"> настоящего Порядка, рассматривается лицом, отвечающим за кадровую работу в аппарате Думы Великого Новгорода, которое осуществляет подготовку мотивированного заключения о соблюдении гражданином, замещавшим должность муниципальной службы в аппарате Думы Великого Новгорода, требований </w:t>
      </w:r>
      <w:hyperlink r:id="rId1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3-3. Уведомление, указанное в </w:t>
      </w:r>
      <w:hyperlink w:anchor="P67">
        <w:r>
          <w:rPr>
            <w:color w:val="0000FF"/>
          </w:rPr>
          <w:t>подпункте "ж" пункта 3</w:t>
        </w:r>
      </w:hyperlink>
      <w:r>
        <w:t xml:space="preserve"> настоящего Порядка, должно быть подано в течение трех рабочих дней со дня, когда муниципальному служащему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неисполнению обязанностей,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в целях противодействия коррупции,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6" w:name="P79"/>
      <w:bookmarkEnd w:id="16"/>
      <w:r>
        <w:t xml:space="preserve">3-4. Уведомления, указанные в </w:t>
      </w:r>
      <w:hyperlink w:anchor="P59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67">
        <w:r>
          <w:rPr>
            <w:color w:val="0000FF"/>
          </w:rPr>
          <w:t>подпункте "ж" пункта 3</w:t>
        </w:r>
      </w:hyperlink>
      <w:r>
        <w:t xml:space="preserve"> настоящего Порядка, рассматриваются лицом, отвечающим за кадровую работу в аппарате Думы Великого Новгорода, которое осуществляет подготовку мотивированного заключения по результатам рассмотрения уведомлений.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3-5. При подготовке мотивированного заключения по результатам рассмотрения обращения, указанного в </w:t>
      </w:r>
      <w:hyperlink w:anchor="P63">
        <w:r>
          <w:rPr>
            <w:color w:val="0000FF"/>
          </w:rPr>
          <w:t>подпункте "д"</w:t>
        </w:r>
      </w:hyperlink>
      <w:r>
        <w:t xml:space="preserve">, или уведомлений, указанных в </w:t>
      </w:r>
      <w:hyperlink w:anchor="P65">
        <w:r>
          <w:rPr>
            <w:color w:val="0000FF"/>
          </w:rPr>
          <w:t>подпунктах "е"</w:t>
        </w:r>
      </w:hyperlink>
      <w:r>
        <w:t xml:space="preserve"> и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лицо, отвечающее за кадровую работу в аппарате Думы Великого Новгорода,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Думы Великого Новгорода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</w:t>
      </w:r>
      <w:r>
        <w:lastRenderedPageBreak/>
        <w:t>Указанный срок может быть продлен, но не более чем на 30 дней.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3-6. Мотивированные заключения, предусмотренные </w:t>
      </w:r>
      <w:hyperlink w:anchor="P70">
        <w:r>
          <w:rPr>
            <w:color w:val="0000FF"/>
          </w:rPr>
          <w:t>пунктами 3-1</w:t>
        </w:r>
      </w:hyperlink>
      <w:r>
        <w:t xml:space="preserve">, </w:t>
      </w:r>
      <w:hyperlink w:anchor="P75">
        <w:r>
          <w:rPr>
            <w:color w:val="0000FF"/>
          </w:rPr>
          <w:t>3-2</w:t>
        </w:r>
      </w:hyperlink>
      <w:r>
        <w:t xml:space="preserve">, </w:t>
      </w:r>
      <w:hyperlink w:anchor="P79">
        <w:r>
          <w:rPr>
            <w:color w:val="0000FF"/>
          </w:rPr>
          <w:t>3-4</w:t>
        </w:r>
      </w:hyperlink>
      <w:r>
        <w:t xml:space="preserve"> настоящего Порядка, должны содержать: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59">
        <w:r>
          <w:rPr>
            <w:color w:val="0000FF"/>
          </w:rPr>
          <w:t>абзаце третьем подпункта "б"</w:t>
        </w:r>
      </w:hyperlink>
      <w:r>
        <w:t xml:space="preserve">, </w:t>
      </w:r>
      <w:hyperlink w:anchor="P63">
        <w:r>
          <w:rPr>
            <w:color w:val="0000FF"/>
          </w:rPr>
          <w:t>подпунктах "д"</w:t>
        </w:r>
      </w:hyperlink>
      <w:r>
        <w:t xml:space="preserve">, </w:t>
      </w:r>
      <w:hyperlink w:anchor="P65">
        <w:r>
          <w:rPr>
            <w:color w:val="0000FF"/>
          </w:rPr>
          <w:t>"е"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59">
        <w:r>
          <w:rPr>
            <w:color w:val="0000FF"/>
          </w:rPr>
          <w:t>абзаце третьем подпункта "б"</w:t>
        </w:r>
      </w:hyperlink>
      <w:r>
        <w:t xml:space="preserve">, </w:t>
      </w:r>
      <w:hyperlink w:anchor="P63">
        <w:r>
          <w:rPr>
            <w:color w:val="0000FF"/>
          </w:rPr>
          <w:t>подпунктах "д"</w:t>
        </w:r>
      </w:hyperlink>
      <w:r>
        <w:t xml:space="preserve">, </w:t>
      </w:r>
      <w:hyperlink w:anchor="P65">
        <w:r>
          <w:rPr>
            <w:color w:val="0000FF"/>
          </w:rPr>
          <w:t>"е"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35">
        <w:r>
          <w:rPr>
            <w:color w:val="0000FF"/>
          </w:rPr>
          <w:t>пунктами 12</w:t>
        </w:r>
      </w:hyperlink>
      <w:r>
        <w:t xml:space="preserve">, </w:t>
      </w:r>
      <w:hyperlink w:anchor="P152">
        <w:r>
          <w:rPr>
            <w:color w:val="0000FF"/>
          </w:rPr>
          <w:t>13-1</w:t>
        </w:r>
      </w:hyperlink>
      <w:r>
        <w:t xml:space="preserve"> - </w:t>
      </w:r>
      <w:hyperlink w:anchor="P160">
        <w:r>
          <w:rPr>
            <w:color w:val="0000FF"/>
          </w:rPr>
          <w:t>13-3</w:t>
        </w:r>
      </w:hyperlink>
      <w:r>
        <w:t xml:space="preserve"> настоящего Порядка или иного решения.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5. Председатель комиссии при поступлении к нему информации, содержащей основания для проведения заседания комиссии: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заседании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4">
        <w:r>
          <w:rPr>
            <w:color w:val="0000FF"/>
          </w:rPr>
          <w:t>пунктами 5-1</w:t>
        </w:r>
      </w:hyperlink>
      <w:r>
        <w:t xml:space="preserve"> - </w:t>
      </w:r>
      <w:hyperlink w:anchor="P98">
        <w:r>
          <w:rPr>
            <w:color w:val="0000FF"/>
          </w:rPr>
          <w:t>5-3</w:t>
        </w:r>
      </w:hyperlink>
      <w:r>
        <w:t xml:space="preserve"> настоящего Порядка;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72">
        <w:r>
          <w:rPr>
            <w:color w:val="0000FF"/>
          </w:rPr>
          <w:t>подпункте "б" пункта 17</w:t>
        </w:r>
      </w:hyperlink>
      <w:r>
        <w:t xml:space="preserve"> 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7" w:name="P94"/>
      <w:bookmarkEnd w:id="17"/>
      <w:r>
        <w:t xml:space="preserve">5-1. Заседание комиссии по рассмотрению заявления, указанного в </w:t>
      </w:r>
      <w:hyperlink w:anchor="P57">
        <w:r>
          <w:rPr>
            <w:color w:val="0000FF"/>
          </w:rPr>
          <w:t>абзаце втором подпункта "б" пункта 3</w:t>
        </w:r>
      </w:hyperlink>
      <w:r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5-2. Уведомления, указанные в </w:t>
      </w:r>
      <w:hyperlink w:anchor="P65">
        <w:r>
          <w:rPr>
            <w:color w:val="0000FF"/>
          </w:rPr>
          <w:t>подпунктах "е"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как правило, рассматриваются на очередном заседании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 xml:space="preserve">5-3. Обращение, указанное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подлежит рассмотрению комиссией в течение 7 рабочих дней со дня его поступления в Думу Великого Новгорода.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Думы Великого Новгорода.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56">
        <w:r>
          <w:rPr>
            <w:color w:val="0000FF"/>
          </w:rPr>
          <w:t>подпунктами "б"</w:t>
        </w:r>
      </w:hyperlink>
      <w:r>
        <w:t xml:space="preserve">, </w:t>
      </w:r>
      <w:hyperlink w:anchor="P63">
        <w:r>
          <w:rPr>
            <w:color w:val="0000FF"/>
          </w:rPr>
          <w:t>"д"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>6-1. Заседания комиссии могут проводиться в отсутствие муниципального служащего или гражданина в случае: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56">
        <w:r>
          <w:rPr>
            <w:color w:val="0000FF"/>
          </w:rPr>
          <w:t>подпунктами "б"</w:t>
        </w:r>
      </w:hyperlink>
      <w:r>
        <w:t xml:space="preserve">, </w:t>
      </w:r>
      <w:hyperlink w:anchor="P63">
        <w:r>
          <w:rPr>
            <w:color w:val="0000FF"/>
          </w:rPr>
          <w:t>"д"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не содержится указания о намерении муниципального служащего или гражданина лично присутствовать на заседании комиссии;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7. На заседании комиссии заслушиваются пояснения муниципального служащего или гражданина, замещавшего должность муниципальной службы в аппарате Думы Великого Новгорода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9" w:name="P110"/>
      <w:bookmarkEnd w:id="19"/>
      <w:r>
        <w:t xml:space="preserve">9. По итогам рассмотрения вопроса, указанного в </w:t>
      </w:r>
      <w:hyperlink w:anchor="P53">
        <w:r>
          <w:rPr>
            <w:color w:val="0000FF"/>
          </w:rPr>
          <w:t>абзаце втором подпункта "а"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установить, что сведения о доходах, об имуществе и обязательствах имущественного характера, представленные муниципальным служащим, являются заведомо неполными. В этом случае комиссия рекомендует Председателю Думы Великого Новгорода применить взыскание в виде увольнения с муниципальной службы, за исключением случаев, установленных федеральными законами;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установить, что сведения о доходах, об имуществе и обязательствах имущественного характера, представленные муниципальным служащим, являются заведомо недостоверными.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10. По итогам рассмотрения вопроса, указанного в </w:t>
      </w:r>
      <w:hyperlink w:anchor="P54">
        <w:r>
          <w:rPr>
            <w:color w:val="0000FF"/>
          </w:rPr>
          <w:t>абзаце третьем подпункта "а"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 предотвращении или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требования к служебному поведению. В этом случае комиссия рекомендует Председателю Думы Великого Новгорода указать муниципальному служащему на недопустимость нарушения требований к служебному поведению либо применить к муниципальному служащему конкретную меру ответственности;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установить, что муниципальный служащий не соблюдал требования о предотвращении или об урегулировании конфликта интересов.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службы, за исключением случаев, установленных федеральными законами.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11. По итогам рассмотрения вопроса, указанного в </w:t>
      </w:r>
      <w:hyperlink w:anchor="P57">
        <w:r>
          <w:rPr>
            <w:color w:val="0000FF"/>
          </w:rPr>
          <w:t>абзаце втором подпункта "б"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Думы Великого Новгорода применить к муниципальному служащему конкретную меру ответственности.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11-1. По итогам рассмотрения вопроса, указанного в </w:t>
      </w:r>
      <w:hyperlink w:anchor="P62">
        <w:r>
          <w:rPr>
            <w:color w:val="0000FF"/>
          </w:rPr>
          <w:t>подпункте "г"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в результате осуществления контроля за расходами муниципального служащего, а также за расходами его супруги (супруга) и несовершеннолетних детей не выявлены обстоятельства, свидетельствующие о несоответствии расходов данного муниципального служащего, а также расходов его супруги (супруга) и несовершеннолетних детей их общему доходу;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признать, что в результате осуществления контроля за расходами муниципального служащего, а также за расходами его супруги (супруга) и несовершеннолетних детей выявлены обстоятельства, свидетельствующие о несоответствии расходов муниципального служащего, а также расходов его супруги (супруга) и несовершеннолетних детей их общему доходу. В этом случае комиссия дает рекомендации о применении к муниципальному служащему конкретной меры ответственности.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0" w:name="P135"/>
      <w:bookmarkEnd w:id="20"/>
      <w:r>
        <w:t xml:space="preserve">12. По итогам рассмотрения вопроса, указанного в </w:t>
      </w:r>
      <w:hyperlink w:anchor="P59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Думы Великого Новгорода принять меры по предотвращению или урегулированию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 предотвращении или об урегулировании конфликта интересов.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службы, за исключением случаев, установленных федеральными законами.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13. По итогам рассмотрения вопроса, предусмотренного </w:t>
      </w:r>
      <w:hyperlink w:anchor="P61">
        <w:r>
          <w:rPr>
            <w:color w:val="0000FF"/>
          </w:rPr>
          <w:t>подпунктом "в"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муниципальным служащим соблюдаются требования к служебному поведению и (или) требования о предотвращении или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б) признать, что муниципальным служащим не соблюдаются требования к служебному поведению. В этом случае комиссия рекомендует Председателю Думы Великого Новгорода </w:t>
      </w:r>
      <w:r>
        <w:lastRenderedPageBreak/>
        <w:t>указать муниципальному служащему на необходимость принятия мер по соблюдению требований к служебному поведению либо применить к муниципальному служащему конкретную меру ответственности;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признать, что муниципальным служащим не соблюдаются требования о предотвращении или об урегулировании конфликта интересов.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службы, за исключением случаев, установленных федеральными законами;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г) признать, что в Думе Великого Новгорода принимаются необходимые меры по предупреждению коррупции;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д) признать, что в Думе Великого Новгорода принимаются недостаточные меры по предупреждению коррупции. В этом случае комиссия рекомендует Председателю Думы Великого Новгорода принять дополнительные меры по предупреждению коррупции.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1" w:name="P152"/>
      <w:bookmarkEnd w:id="21"/>
      <w:r>
        <w:t xml:space="preserve">13-1. По итогам рассмотрения вопроса, указанного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дать гражданину согласие на замещение на условиях трудового договора должности в организации и (или) на выполнение работ на условиях гражданско-правового договора в данной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отказать гражданину в замещении на условиях трудового договора должности в организации и (или) в выполнении работ на условиях гражданско-правового договора в данной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13-2. По итогам рассмотрения вопроса, указанного в </w:t>
      </w:r>
      <w:hyperlink w:anchor="P65">
        <w:r>
          <w:rPr>
            <w:color w:val="0000FF"/>
          </w:rPr>
          <w:t>подпункте "е" пункта 3</w:t>
        </w:r>
      </w:hyperlink>
      <w:r>
        <w:t xml:space="preserve"> настоящего Порядка, комиссия принимает в отношении гражданина, замещавшего должность муниципальной службы в аппарате Думы Великого Новгорода,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Председателю Думы Великого Новгорода проинформировать об указанных обстоятельствах органы прокуратуры и уведомившую организацию.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2" w:name="P160"/>
      <w:bookmarkEnd w:id="22"/>
      <w:r>
        <w:t xml:space="preserve">13-3. По итогам рассмотрения вопроса, указанного в </w:t>
      </w:r>
      <w:hyperlink w:anchor="P67">
        <w:r>
          <w:rPr>
            <w:color w:val="0000FF"/>
          </w:rPr>
          <w:t>подпункте "ж"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независящих от муниципального служащего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в целях противодействия коррупции. В этом случае комиссия рекомендует Председателю Думы Великого Новгорода освободить муниципального служащего от дисциплинарной ответственности;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 xml:space="preserve"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в целях противодействия коррупции.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14. Исключен. - </w:t>
      </w:r>
      <w:hyperlink r:id="rId19">
        <w:r>
          <w:rPr>
            <w:color w:val="0000FF"/>
          </w:rPr>
          <w:t>Решение</w:t>
        </w:r>
      </w:hyperlink>
      <w:r>
        <w:t xml:space="preserve"> Думы Великого Новгорода от 26.11.2013 N 69.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14. По итогам рассмотрения вопросов, указанных в </w:t>
      </w:r>
      <w:hyperlink w:anchor="P52">
        <w:r>
          <w:rPr>
            <w:color w:val="0000FF"/>
          </w:rPr>
          <w:t>подпунктах "а"</w:t>
        </w:r>
      </w:hyperlink>
      <w:r>
        <w:t xml:space="preserve">, </w:t>
      </w:r>
      <w:hyperlink w:anchor="P56">
        <w:r>
          <w:rPr>
            <w:color w:val="0000FF"/>
          </w:rPr>
          <w:t>"б"</w:t>
        </w:r>
      </w:hyperlink>
      <w:r>
        <w:t xml:space="preserve">, </w:t>
      </w:r>
      <w:hyperlink w:anchor="P62">
        <w:r>
          <w:rPr>
            <w:color w:val="0000FF"/>
          </w:rPr>
          <w:t>"г"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10">
        <w:r>
          <w:rPr>
            <w:color w:val="0000FF"/>
          </w:rPr>
          <w:t>пунктами 9</w:t>
        </w:r>
      </w:hyperlink>
      <w:r>
        <w:t xml:space="preserve"> - </w:t>
      </w:r>
      <w:hyperlink w:anchor="P135">
        <w:r>
          <w:rPr>
            <w:color w:val="0000FF"/>
          </w:rPr>
          <w:t>12</w:t>
        </w:r>
      </w:hyperlink>
      <w:r>
        <w:t xml:space="preserve">, </w:t>
      </w:r>
      <w:hyperlink w:anchor="P152">
        <w:r>
          <w:rPr>
            <w:color w:val="0000FF"/>
          </w:rPr>
          <w:t>13-1</w:t>
        </w:r>
      </w:hyperlink>
      <w:r>
        <w:t xml:space="preserve"> - </w:t>
      </w:r>
      <w:hyperlink w:anchor="P160">
        <w:r>
          <w:rPr>
            <w:color w:val="0000FF"/>
          </w:rPr>
          <w:t>13-3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15.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аппарате Думы Великого Новгорода, недопустимо.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17. В заседаниях комиссии с правом совещательного голоса участвуют: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определяемый председателем комиссии муниципальный служащий, замещающий в аппарате Думы Великого Новгорода должность муниципальной службы, аналогичную должности, замещаемой муниципальным служащим,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(при наличии);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3" w:name="P172"/>
      <w:bookmarkEnd w:id="23"/>
      <w:r>
        <w:t>б)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18. Решения комиссии по вопросам, указанным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настоящего Порядка,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19. Решения комиссии оформляются протоколами, которые подписывают члены комиссии, принимавшие участие в ее заседании. Решения комиссии для Председателя Думы Великого Новгорода носят рекомендательный характер.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20. В протоколе заседания комиссии указываются: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Думу Великого Новгорода;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22. Копии протокола заседания комиссии в 7-дневный срок со дня заседания направляются Председателю Думы Великого Новгорода, полностью или в виде выписок из него - муниципальному служащему, а также по решению комиссии - иным заинтересованным лицам.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23. Председатель Думы Великого Новгорода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Думы Великого Новгорода в письменной форме уведомляет комиссию в месячный срок со дня поступления к нему протокола заседания комиссии. Решение Председателя Думы Великого Новгорода оглашается на ближайшем заседании комиссии и принимается к сведению без обсуждения.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Думы Великого Новгорода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 xml:space="preserve">Выписка из решения комиссии, заверенная подписью секретаря комиссии и печатью Думы Великого Новгорода, вручается секретарем комиссии гражданину, замещавшему должность муниципальной службы в аппарате Думы Великого Новгорода, в отношении которого рассматривался вопрос, указанный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27. Организационное обеспечение деятельности комиссии, включая информирование членов комиссии о вопросах, включенных в повестку дня,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2FA" w:rsidRDefault="002E32FA"/>
    <w:sectPr w:rsidR="002E32FA" w:rsidSect="00D6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E0"/>
    <w:rsid w:val="00291DE0"/>
    <w:rsid w:val="002E32FA"/>
    <w:rsid w:val="007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7FA39-E038-4244-8C76-5BC19C13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1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D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6929&amp;dst=28" TargetMode="External"/><Relationship Id="rId13" Type="http://schemas.openxmlformats.org/officeDocument/2006/relationships/hyperlink" Target="https://login.consultant.ru/link/?req=doc&amp;base=LAW&amp;n=172553&amp;dst=28" TargetMode="External"/><Relationship Id="rId18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38550" TargetMode="External"/><Relationship Id="rId12" Type="http://schemas.openxmlformats.org/officeDocument/2006/relationships/hyperlink" Target="https://login.consultant.ru/link/?req=doc&amp;base=LAW&amp;n=172553&amp;dst=28" TargetMode="External"/><Relationship Id="rId17" Type="http://schemas.openxmlformats.org/officeDocument/2006/relationships/hyperlink" Target="https://login.consultant.ru/link/?req=doc&amp;base=LAW&amp;n=4648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72553&amp;dst=2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49921&amp;dst=100009" TargetMode="External"/><Relationship Id="rId11" Type="http://schemas.openxmlformats.org/officeDocument/2006/relationships/hyperlink" Target="https://login.consultant.ru/link/?req=doc&amp;base=RLAW154&amp;n=61728&amp;dst=100011" TargetMode="External"/><Relationship Id="rId5" Type="http://schemas.openxmlformats.org/officeDocument/2006/relationships/hyperlink" Target="https://login.consultant.ru/link/?req=doc&amp;base=RLAW154&amp;n=67853&amp;dst=104486" TargetMode="External"/><Relationship Id="rId15" Type="http://schemas.openxmlformats.org/officeDocument/2006/relationships/hyperlink" Target="https://login.consultant.ru/link/?req=doc&amp;base=LAW&amp;n=449778" TargetMode="External"/><Relationship Id="rId10" Type="http://schemas.openxmlformats.org/officeDocument/2006/relationships/hyperlink" Target="https://login.consultant.ru/link/?req=doc&amp;base=LAW&amp;n=177649&amp;dst=1713" TargetMode="External"/><Relationship Id="rId19" Type="http://schemas.openxmlformats.org/officeDocument/2006/relationships/hyperlink" Target="https://login.consultant.ru/link/?req=doc&amp;base=RLAW154&amp;n=43944&amp;dst=100025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172553&amp;dst=33" TargetMode="External"/><Relationship Id="rId14" Type="http://schemas.openxmlformats.org/officeDocument/2006/relationships/hyperlink" Target="https://login.consultant.ru/link/?req=doc&amp;base=LAW&amp;n=172553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2024-04-17T11:06:00Z</dcterms:created>
  <dcterms:modified xsi:type="dcterms:W3CDTF">2024-04-17T11:06:00Z</dcterms:modified>
</cp:coreProperties>
</file>