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7A2" w:rsidRDefault="004707A2" w:rsidP="004707A2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4707A2" w:rsidRDefault="004707A2" w:rsidP="004707A2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4707A2" w:rsidRDefault="004707A2" w:rsidP="004707A2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707A2" w:rsidRDefault="004707A2" w:rsidP="004707A2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4707A2" w:rsidRDefault="004707A2" w:rsidP="004707A2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707A2" w:rsidRDefault="004707A2" w:rsidP="004707A2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>заседания Думы Великого Новгорода пятого созыва</w:t>
      </w:r>
    </w:p>
    <w:p w:rsidR="004707A2" w:rsidRDefault="004707A2" w:rsidP="004707A2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4707A2" w:rsidRDefault="004707A2" w:rsidP="004707A2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01.02.2018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77</w:t>
      </w:r>
    </w:p>
    <w:p w:rsidR="004707A2" w:rsidRDefault="004707A2" w:rsidP="004707A2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FF"/>
          <w:sz w:val="26"/>
          <w:szCs w:val="26"/>
        </w:rPr>
      </w:pPr>
    </w:p>
    <w:tbl>
      <w:tblPr>
        <w:tblW w:w="9486" w:type="dxa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4707A2" w:rsidTr="004707A2">
        <w:tc>
          <w:tcPr>
            <w:tcW w:w="3510" w:type="dxa"/>
          </w:tcPr>
          <w:p w:rsidR="004707A2" w:rsidRDefault="004707A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4707A2" w:rsidRDefault="004707A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4707A2" w:rsidRDefault="004707A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 созыва 29 человек</w:t>
            </w:r>
          </w:p>
          <w:p w:rsidR="004707A2" w:rsidRDefault="004707A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707A2" w:rsidTr="004707A2">
        <w:tc>
          <w:tcPr>
            <w:tcW w:w="3510" w:type="dxa"/>
          </w:tcPr>
          <w:p w:rsidR="004707A2" w:rsidRDefault="004707A2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4707A2" w:rsidRDefault="004707A2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В.В. Тимофеев</w:t>
            </w:r>
          </w:p>
          <w:p w:rsidR="004707A2" w:rsidRDefault="004707A2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4707A2" w:rsidRDefault="004707A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4707A2" w:rsidRDefault="004707A2" w:rsidP="004707A2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сутствовали</w:t>
      </w:r>
    </w:p>
    <w:p w:rsidR="004707A2" w:rsidRDefault="004707A2" w:rsidP="004707A2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9489" w:type="dxa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4707A2" w:rsidTr="004707A2">
        <w:tc>
          <w:tcPr>
            <w:tcW w:w="3429" w:type="dxa"/>
          </w:tcPr>
          <w:p w:rsidR="004707A2" w:rsidRDefault="004707A2" w:rsidP="004707A2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60" w:type="dxa"/>
          </w:tcPr>
          <w:p w:rsidR="004707A2" w:rsidRDefault="004707A2" w:rsidP="004707A2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</w:tr>
      <w:tr w:rsidR="004707A2" w:rsidTr="004707A2">
        <w:tc>
          <w:tcPr>
            <w:tcW w:w="3429" w:type="dxa"/>
          </w:tcPr>
          <w:p w:rsidR="004707A2" w:rsidRDefault="004707A2" w:rsidP="004707A2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4707A2" w:rsidRDefault="004707A2" w:rsidP="004707A2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Е.И. Кузиков, В.О. Букетов, К.Д. Демидов</w:t>
            </w:r>
          </w:p>
        </w:tc>
      </w:tr>
      <w:tr w:rsidR="004707A2" w:rsidTr="004707A2">
        <w:tc>
          <w:tcPr>
            <w:tcW w:w="3429" w:type="dxa"/>
          </w:tcPr>
          <w:p w:rsidR="004707A2" w:rsidRDefault="004707A2" w:rsidP="004707A2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4707A2" w:rsidRDefault="004707A2" w:rsidP="004707A2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4707A2" w:rsidRDefault="004707A2" w:rsidP="004707A2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Авдеев И.Н., Старостин А.В., Богомолов В.В., Гетманский А.В.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,  Данилов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В.В., Золотарев С.В.,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Костусенко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А.С., Михайлова Е.В.,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Поплавский Г.Е.,  Трофимов Д.А., Чернов А.А., Симоненко С.И., Григорьев Э.В.,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Скрипник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А.К., Яковлева Т.В.,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Сабельский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АН., Петрова С.С.,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Довгий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И.Н.,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Весельев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Ю.М.</w:t>
            </w:r>
          </w:p>
          <w:p w:rsidR="004707A2" w:rsidRDefault="004707A2" w:rsidP="004707A2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</w:tr>
      <w:tr w:rsidR="004707A2" w:rsidTr="004707A2">
        <w:tc>
          <w:tcPr>
            <w:tcW w:w="3429" w:type="dxa"/>
          </w:tcPr>
          <w:p w:rsidR="004707A2" w:rsidRDefault="004707A2" w:rsidP="004707A2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Мэр Великого Новгорода</w:t>
            </w:r>
          </w:p>
        </w:tc>
        <w:tc>
          <w:tcPr>
            <w:tcW w:w="6060" w:type="dxa"/>
          </w:tcPr>
          <w:p w:rsidR="004707A2" w:rsidRDefault="004707A2" w:rsidP="004707A2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Ю.И.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Бобрышев</w:t>
            </w:r>
            <w:proofErr w:type="spellEnd"/>
          </w:p>
        </w:tc>
      </w:tr>
      <w:tr w:rsidR="004707A2" w:rsidTr="004707A2">
        <w:tc>
          <w:tcPr>
            <w:tcW w:w="3429" w:type="dxa"/>
          </w:tcPr>
          <w:p w:rsidR="004707A2" w:rsidRDefault="004707A2" w:rsidP="004707A2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</w:tcPr>
          <w:p w:rsidR="004707A2" w:rsidRDefault="004707A2" w:rsidP="004707A2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Екимова С.С.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,  Жохова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Н.И.,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Семижонова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А.В.</w:t>
            </w:r>
          </w:p>
        </w:tc>
      </w:tr>
    </w:tbl>
    <w:p w:rsidR="004707A2" w:rsidRDefault="004707A2" w:rsidP="004707A2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4707A2" w:rsidRDefault="004707A2" w:rsidP="004707A2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4707A2">
        <w:tc>
          <w:tcPr>
            <w:tcW w:w="3420" w:type="dxa"/>
          </w:tcPr>
          <w:p w:rsidR="004707A2" w:rsidRDefault="004707A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4707A2" w:rsidRDefault="004707A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4707A2" w:rsidRDefault="004707A2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Андреев В.В.,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Варухин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Н.Г.,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Мишекурин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В.Ю., Смирнова Г.Г.</w:t>
            </w:r>
          </w:p>
        </w:tc>
      </w:tr>
    </w:tbl>
    <w:p w:rsidR="004707A2" w:rsidRDefault="004707A2" w:rsidP="004707A2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4707A2" w:rsidRDefault="004707A2" w:rsidP="004707A2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4707A2" w:rsidRDefault="004707A2" w:rsidP="004707A2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Андреев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мэров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Левков Ю.М.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Новгородской городской общественной организации ветеранов (пенсионеров) войны, труда, Вооруженных Сил и правоохранительных органов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Ломанов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А.Н.</w:t>
      </w:r>
      <w:r>
        <w:rPr>
          <w:rFonts w:ascii="Tms Rmn" w:hAnsi="Tms Rmn" w:cs="Tms Rmn"/>
          <w:color w:val="000000"/>
          <w:sz w:val="26"/>
          <w:szCs w:val="26"/>
        </w:rPr>
        <w:tab/>
        <w:t>- депутат Новгородской областной Думы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Матюнин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Поздняков О.Л.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управлению муниципальным имуществом и земельными ресурсами Великого Новгорода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Попов И.Ф.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управления по дорожному хозяйству и транспорту Администрации Великого Новгорода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Прохоров И.Е.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управлению жилищно-коммунальным хозяйством и охране окружающей среды Администрации Великого Новгорода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Пшеницын Ю.Г.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первый заместитель Главы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Администрации  Великого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Новгорода</w:t>
      </w:r>
    </w:p>
    <w:p w:rsidR="004707A2" w:rsidRDefault="004707A2" w:rsidP="004707A2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4707A2" w:rsidRDefault="004707A2" w:rsidP="004707A2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от 26.12.2017 № 1350 "О бюджете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Великого  Новгорода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на 2018 год и на плановый период 2019 и 2020 годов"</w:t>
      </w:r>
    </w:p>
    <w:p w:rsidR="004707A2" w:rsidRDefault="004707A2" w:rsidP="004707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>О назначении публичных слушаний</w:t>
      </w:r>
    </w:p>
    <w:p w:rsidR="004707A2" w:rsidRDefault="004707A2" w:rsidP="004707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некоторые решения Думы Великого Новгорода </w:t>
      </w:r>
    </w:p>
    <w:p w:rsidR="004707A2" w:rsidRDefault="004707A2" w:rsidP="004707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назначении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даты  ежегодного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отчёта Мэра Великого Новгорода</w:t>
      </w:r>
    </w:p>
    <w:p w:rsidR="004707A2" w:rsidRDefault="004707A2" w:rsidP="004707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правовом управлении аппарата Думы Великого Новгорода</w:t>
      </w:r>
    </w:p>
    <w:p w:rsidR="004707A2" w:rsidRDefault="004707A2" w:rsidP="004707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порядке использования официальных символов Великого Новгорода</w:t>
      </w:r>
    </w:p>
    <w:p w:rsidR="004707A2" w:rsidRDefault="004707A2" w:rsidP="004707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4707A2" w:rsidRDefault="004707A2" w:rsidP="004707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4707A2" w:rsidRDefault="004707A2" w:rsidP="004707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4707A2" w:rsidRDefault="004707A2" w:rsidP="004707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4707A2" w:rsidRDefault="004707A2" w:rsidP="004707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4707A2" w:rsidRDefault="004707A2" w:rsidP="004707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  <w:t>Разное</w:t>
      </w:r>
    </w:p>
    <w:p w:rsidR="004707A2" w:rsidRDefault="004707A2" w:rsidP="004707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ms Rmn" w:hAnsi="Tms Rmn" w:cs="Tms Rmn"/>
          <w:b/>
          <w:bCs/>
          <w:color w:val="000000"/>
          <w:sz w:val="26"/>
          <w:szCs w:val="26"/>
        </w:rPr>
      </w:pPr>
      <w:r>
        <w:rPr>
          <w:rFonts w:ascii="Tms Rmn" w:hAnsi="Tms Rmn" w:cs="Tms Rmn"/>
          <w:b/>
          <w:bCs/>
          <w:color w:val="000000"/>
          <w:sz w:val="26"/>
          <w:szCs w:val="26"/>
        </w:rPr>
        <w:lastRenderedPageBreak/>
        <w:t xml:space="preserve">Дополнительная повестка </w:t>
      </w:r>
    </w:p>
    <w:p w:rsidR="004707A2" w:rsidRDefault="004707A2" w:rsidP="004707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b/>
          <w:bCs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Программу приватизации муниципального имущества Великого Новгорода в 2018 году </w:t>
      </w:r>
    </w:p>
    <w:p w:rsidR="004707A2" w:rsidRDefault="004707A2" w:rsidP="004707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Программу приватизации муниципального имущества Великого Новгорода в 2018 году </w:t>
      </w:r>
    </w:p>
    <w:p w:rsidR="004707A2" w:rsidRDefault="004707A2" w:rsidP="004707A2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4707A2" w:rsidRDefault="004707A2" w:rsidP="004707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1. Тимофеев В.В. объявил: 1) о  включении в основную повестку заседания Думы вопросов дополнительной повестки; 2) о снятии с рассмотрения вопроса № 14 повестки заседания на основании письма Администрации Великого Новгорода; 3) вопрос № 13 рассмотреть первым, перед обсуждением вопроса № 1; 4) включить в раздел "Разное" следующие вопросы: а) о заключении Соглашения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о взаимодействии между региональной общественной организацией "Новгородское общество любителей древности" и Думой Великого Новгорода; б)  о рассмотрении информации Администрации Великого Новгорода о ходе реализации приоритетного проекта "Формирование комфортной городской среды";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в) о рассмотрении информации Администрации Великого Новгорода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об участившихся в январе 2018 года случаях ДТП, связанных с наездом на пешеходов на пешеходных переходах. 2. Петрова С.С.,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Довгий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И.Н.,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Скрипник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А.К., Михайлова Е.В., Данилов В.В. - предложили рассмотреть дополнительные вопросы в разделе "Разное"</w:t>
      </w:r>
    </w:p>
    <w:p w:rsidR="004707A2" w:rsidRDefault="004707A2" w:rsidP="004707A2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"за" - 24, "против" - нет, "воздержались" - нет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(при голосовании отсутствовал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Довгий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И.Н.)</w:t>
      </w:r>
    </w:p>
    <w:p w:rsidR="004707A2" w:rsidRDefault="004707A2" w:rsidP="004707A2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Программу приватизации муниципального имущества Великого Новгорода в 2018 году 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Екатерина Викторовна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В.В., Трофимов Д.А., Богомолов В.В. - о решении комиссий - определиться на заседании Думы;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 - о решении комиссии - принять проект решения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с поправкой Администрации Великого Новгорода от 31.01.2018 № М22-446-И: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- 24, "против" - нет, "воздержались" - 1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поправкой Администрации Великого Новгорода от 31.01.2018 № М22-446-И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решение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26.12.2017 № 1350 "О бюджете Великого  Новгорода на 2018 год и на плановый период 2019 и 2020 годов"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Екатерина Викторовна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Данилов В.В., Трофимов Д.А.А,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комиссий - принять проект решения;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Богомолов В.В. - о решении комиссии - решение не принято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с поправками Администрации Великого Новгорода от 22.01.2018 № 74, от 26.01.2018 № 123: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- 21, "против" - нет, "воздержались" - 4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поправками Администрации Великого Новгорода от 22.01.2018 № 74, от 26.01.2018 № 123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назначении публичных слушаний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Константин Дмитриевич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решении комиссии по законодательству и местному самоуправлению - принять проект решения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некоторые решения Думы Великого Новгорода 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Владимир Владимирович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Данилов В.В. - о решении комиссии по законодательству и местному самоуправлению - принять проект решения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с поправкой Председателя Думы Великого Новгорода от 23.01.2018 № 48: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- 25, "против" - нет, "воздержались" - нет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 с поправкой Председателя Думы Великого Новгорода от 23.01.2018 № 48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назначении даты  ежегодного отчёта Мэра Великого Новгорода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решении комиссии по законодательству и местному самоуправлению - принять проект решения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правовом управлении аппарата Думы Великого Новгорода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решении комиссии по законодательству и местному самоуправлению - принять проект решения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порядке использования официальных символов Великого Новгорода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Данилов В.В. - о решении комиссии по законодательству и местному самоуправлению - принять проект решения в первом чтении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принятие проекта в первом чтении: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- 23, "против" - нет, "воздержались" - 1</w:t>
      </w:r>
      <w:r>
        <w:rPr>
          <w:rFonts w:ascii="Tms Rmn" w:hAnsi="Tms Rmn" w:cs="Tms Rmn"/>
          <w:color w:val="000000"/>
          <w:sz w:val="26"/>
          <w:szCs w:val="26"/>
        </w:rPr>
        <w:br/>
        <w:t>(при голосовании отсутствовала Михайлова Е.В.)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Симоненко Сергей Ильич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Новгорода, принять.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Евгений Иванович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Богомолов Владимир Валерьевич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Новгорода, принять.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Михайлова Елена Васильевна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Гетманский Андрей Викторович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Разное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заключении Соглашения о взаимодействии между региональной общественной организацией "Новгородское общество любителей древности" и Думой Великого Новгорода 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- 23, "против" - нет, "воздержались"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нет</w:t>
      </w:r>
      <w:r>
        <w:rPr>
          <w:rFonts w:ascii="Tms Rmn" w:hAnsi="Tms Rmn" w:cs="Tms Rmn"/>
          <w:color w:val="000000"/>
          <w:sz w:val="26"/>
          <w:szCs w:val="26"/>
        </w:rPr>
        <w:br/>
        <w:t>(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при голосовании отсутствовали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А.С., Поплавский Г.Е.)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"Заключить Соглашение о взаимодействии между региональной общественной организацией "Новгородское общество любителей древности" и Думой Великого Новгорода"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рассмотрении информации Администрации Великого Новгорода о ходе реализации приоритетного проекта "Формирование комфортной городской среды"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Прохоров Игорь Евгеньевич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рассмотрении информации Администрации Великого Новгорода об участившихся в январе 2018 года случаях ДТП, связанных с наездом на пешеходов на пешеходных переходах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Попов Игорь Федорович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Демидов К.Д., Кузиков Е..И., Симоненко С.И., Михайлова Е.В., Петрова С.С., Данилов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Сабельский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А.Н., Трофимов Д.А., Старостин А.В.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12.4.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определении мест продажи сувенирной продукции, производимой мастерицами клуба ветеранов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Петрова Светлана Сергеевна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Программе по озеленению города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Довгий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Илья Николаевич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Бобрышев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Ю.И. - о разработке в данный момент Администрацией Великого Новгорода Программы по озеленению города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мерах, предпринимаемых Администрацией Великого Новгорода по вопросу обеспечения безопасности в образовательных учреждениях города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Довгий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И.Н.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(при голосовании отсутствовали Золотарев С.В.,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Михайлова Е.В.,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Весельев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Ю.М.)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"Поручить Администрации Великого Новгорода  представить информацию о мерах, предпринимаемых Администрацией Великого Новгорода по обеспечению безопасности в образовательных учреждениях города, и доложить на очередном заседании Думы Великого Новгорода в феврале 2018 года"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порядке зачисления детей в первый класс в образовательные учреждения города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Данилов Владимир Витальевич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нет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(при рассмотрении вопросов №№ 12.7. - 12.9. отсутствовали Золотарев С.В.,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Весельев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Ю.М.)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  <w:t>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"Поручить Администрации Великого Новгорода рассмотреть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вопрос о целесообразности внесения изменений  в правовые акты, регулирующие порядок зачисления детей в первый класс в образовательные учреждения города, в части установления приоритета для лиц, проживающих в непосредственной близости от данных учреждений, и представить свои предложения по данному вопросу к очередному заседанию Думы Великого Новгорода в феврале 2018 года"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дорожной ситуации в микрорайоне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Ивушки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"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Александр Константинович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- 21, "против" - нет, "воздержались" - нет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(при рассмотрении вопросов №№ 12.8, 12.9. отсутствовали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А.С.)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"Продолжить рассмотрение  вопроса о дорожной ситуации в микрорайоне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Ивушки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" на заседании постоянной комиссии по жилищному хозяйству, архитектуре и землепользованию Думы Великого Новгорода"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установке бюста Я. Павлову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Михайлова Елена Васильевна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Бобрышев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Ю.И. - сообщил, что вопрос, связанный с определением места размещения бюста Я. Павлову, находится на контроле у Администрации Великого Новгорода </w:t>
      </w: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4707A2" w:rsidRDefault="004707A2" w:rsidP="004707A2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707A2" w:rsidRDefault="004707A2" w:rsidP="004707A2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67"/>
        <w:gridCol w:w="3685"/>
      </w:tblGrid>
      <w:tr w:rsidR="004707A2">
        <w:tc>
          <w:tcPr>
            <w:tcW w:w="3543" w:type="dxa"/>
          </w:tcPr>
          <w:p w:rsidR="004707A2" w:rsidRDefault="004707A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67" w:type="dxa"/>
          </w:tcPr>
          <w:p w:rsidR="004707A2" w:rsidRDefault="004707A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4707A2" w:rsidRDefault="004707A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В.В. Тимофеев </w:t>
            </w:r>
          </w:p>
        </w:tc>
      </w:tr>
    </w:tbl>
    <w:p w:rsidR="00CE3F92" w:rsidRDefault="004707A2"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</w:p>
    <w:sectPr w:rsidR="00CE3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238"/>
    <w:rsid w:val="004707A2"/>
    <w:rsid w:val="00762238"/>
    <w:rsid w:val="00CE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8217A-B7A7-4F89-8261-42A2D4418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1968</Words>
  <Characters>11221</Characters>
  <Application>Microsoft Office Word</Application>
  <DocSecurity>0</DocSecurity>
  <Lines>93</Lines>
  <Paragraphs>26</Paragraphs>
  <ScaleCrop>false</ScaleCrop>
  <Company/>
  <LinksUpToDate>false</LinksUpToDate>
  <CharactersWithSpaces>13163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2</cp:revision>
  <dcterms:created xsi:type="dcterms:W3CDTF">2018-03-02T09:37:00Z</dcterms:created>
  <dcterms:modified xsi:type="dcterms:W3CDTF">2018-03-02T09:39:00Z</dcterms:modified>
</cp:coreProperties>
</file>