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40776" w:rsidRDefault="00940776" w:rsidP="0094077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28.12.2016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61</w:t>
      </w:r>
    </w:p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40776">
        <w:tc>
          <w:tcPr>
            <w:tcW w:w="3510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40776">
        <w:tc>
          <w:tcPr>
            <w:tcW w:w="3510" w:type="dxa"/>
          </w:tcPr>
          <w:p w:rsidR="00940776" w:rsidRDefault="00940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40776" w:rsidRDefault="0094077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940776" w:rsidRDefault="0094077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40776" w:rsidRDefault="00940776" w:rsidP="0094077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940776" w:rsidTr="00940776">
        <w:tc>
          <w:tcPr>
            <w:tcW w:w="3429" w:type="dxa"/>
          </w:tcPr>
          <w:p w:rsidR="00940776" w:rsidRDefault="00940776" w:rsidP="0094077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940776" w:rsidRDefault="00940776" w:rsidP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В.О. Букетов, К.Д. Демидов</w:t>
            </w:r>
          </w:p>
        </w:tc>
      </w:tr>
      <w:tr w:rsidR="00940776" w:rsidTr="00940776">
        <w:tc>
          <w:tcPr>
            <w:tcW w:w="3429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940776" w:rsidRDefault="0094077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940776" w:rsidRDefault="00940776" w:rsidP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Ефимов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940776" w:rsidTr="00940776">
        <w:tc>
          <w:tcPr>
            <w:tcW w:w="3429" w:type="dxa"/>
          </w:tcPr>
          <w:p w:rsidR="00940776" w:rsidRDefault="00940776" w:rsidP="00940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Великого Новгорода</w:t>
            </w:r>
          </w:p>
        </w:tc>
        <w:tc>
          <w:tcPr>
            <w:tcW w:w="6060" w:type="dxa"/>
          </w:tcPr>
          <w:p w:rsidR="00940776" w:rsidRDefault="00940776" w:rsidP="0094077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940776" w:rsidTr="00940776">
        <w:tc>
          <w:tcPr>
            <w:tcW w:w="3429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940776" w:rsidRDefault="00940776" w:rsidP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940776" w:rsidTr="00940776">
        <w:tc>
          <w:tcPr>
            <w:tcW w:w="3429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940776" w:rsidRDefault="00940776" w:rsidP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</w:t>
            </w:r>
          </w:p>
        </w:tc>
      </w:tr>
    </w:tbl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940776">
        <w:tc>
          <w:tcPr>
            <w:tcW w:w="3420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Кузиков Е.И., Еремин В.А.</w:t>
            </w:r>
          </w:p>
        </w:tc>
      </w:tr>
    </w:tbl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940776" w:rsidRDefault="00940776" w:rsidP="0094077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40776" w:rsidRDefault="00940776" w:rsidP="0094077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Минина В.В.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Губернатора Новгородской области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Караулов М.О.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Катенов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изменений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Положение о комитете по строительству Администрации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согласовании использования изображения герба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порядке осуществления органами местного самоуправления Великого Новгорода полномочий по реализации Федерального закона "О рекламе" (второе чтение)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таблицу 1 Методики определения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2017 году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содержания и охраны зеленых насаждений в Великом Новгороде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Об отмене решения Думы Великого Новгорода от 21.11.2016 № 987 "О</w:t>
      </w:r>
      <w:r>
        <w:rPr>
          <w:rFonts w:ascii="Tms Rmn" w:hAnsi="Tms Rmn" w:cs="Tms Rmn"/>
          <w:color w:val="000000"/>
          <w:sz w:val="26"/>
          <w:szCs w:val="26"/>
        </w:rPr>
        <w:br/>
        <w:t>целесообразности заключения концессионного соглашения"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стипендии имени С.В. Рахманинова 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Положение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муниципальной стипендии одаренным детям и молодежи 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дополнительной мере социальной поддержки по обеспечению бесплатным молоком некоторых категорий обучающихся 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базовой суммы для расчёта размера пожизненной ренты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бюста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на должность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дополнительных мерах социальной поддержки граждан при предоставлении услуг муниципальными банями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предоставления услуг муниципальными банями в Великом Новгороде (второе чтение)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звании "Почётный гражданин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 полугодие 2017 года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Межведомственного совета по противодействию коррупции при Думе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Молодежного парламента при Новгородской областной Думе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скверу, расположенному вдоль больничных корпусов по Яковлева улице в квартале 94 (Софийская сторона)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общественной комиссии по жилищным вопросам при Администрации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депутатов Думы Великого Новгорода в состав рабочей группы для рассмотрения вопроса о целесообразности заключения концессионных соглашений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26.07.2015 </w:t>
      </w:r>
      <w:r>
        <w:rPr>
          <w:rFonts w:ascii="Tms Rmn" w:hAnsi="Tms Rmn" w:cs="Tms Rmn"/>
          <w:color w:val="000000"/>
          <w:sz w:val="26"/>
          <w:szCs w:val="26"/>
        </w:rPr>
        <w:br/>
        <w:t>№ 549 «О Порядке материального стимулирования членов народных дружин Великого Новгорода»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2017 год и на плановый период 2018 и 2019 годов" 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45.</w:t>
      </w:r>
      <w:r>
        <w:rPr>
          <w:rFonts w:ascii="Tms Rmn" w:hAnsi="Tms Rmn" w:cs="Tms Rmn"/>
          <w:color w:val="000000"/>
          <w:sz w:val="26"/>
          <w:szCs w:val="26"/>
        </w:rPr>
        <w:tab/>
        <w:t>О бюджете Великого Новгорода на 2017 год и на плановый период 2018 и 2019 годов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01.03.2016 № 749 "Об установлении дополнительной меры социальной поддержки студентов 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29.03.2012 № 1223 "О мерах социальной поддержки семей в связи с одновременным рождением двух детей"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03.02.2016 № 714 "Об установлении коэффициентов для расчета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Великого Новгорода"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49.</w:t>
      </w:r>
      <w:r>
        <w:rPr>
          <w:rFonts w:ascii="Tms Rmn" w:hAnsi="Tms Rmn" w:cs="Tms Rmn"/>
          <w:color w:val="000000"/>
          <w:sz w:val="26"/>
          <w:szCs w:val="26"/>
        </w:rPr>
        <w:tab/>
        <w:t>О досрочном прекращении полномочий депутата Думы Великого Новгорода Еремина В.А.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50.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51. О внесении изменения в решение Думы Великого Новгорода от 03.02.2016 № 714 "Об установлении коэффициентов для расчета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Великого Новгорода"</w:t>
      </w:r>
    </w:p>
    <w:p w:rsidR="00940776" w:rsidRDefault="00940776" w:rsidP="0094077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объявил: 1) о наличии заявления депутата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 о том, что в связи с невозможностью его личного присутствия на заседании Думы 28.12.2016, он выразил свое волеизъявление, которое будет учтено при подведении окончательных итогов голосования (копия прилагается); 2) о снятии с рассмотрения: Администрацией Великого Новгорода вопросов №№ 8, 9, 14, 16, 48 повестки заседания Думы, Председателем Думы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Велиого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Новгорода вопросов №№ 18, 19 повестки заседания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Думы; 2) на основании решения Совета Думы Великого Новгорода включить в основную повестку заседания Думы вопросы дополнительной повестки; 3) вопросы №№ 42, 44, 45, 46, 47 рассмотреть перед вопросом № 17 в следующем порядке: вопросы №№ 42, 46, 47, 44, 45; 4) о замене докладчиков: по вопросу № 17 - Тимофеев В.В., №№ 29, 30, 33 - Демидов К.Д., №№ 6, 44, 45 -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Е.А., №№ 4, 5, 7 - Осипов А.А.; 5) о включении вопроса  в раздел "Разное".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940776" w:rsidRDefault="00940776" w:rsidP="0094077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 в Положение о комитете по строительству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Георгий Александрович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r>
        <w:rPr>
          <w:rFonts w:ascii="Tms Rmn" w:hAnsi="Tms Rmn" w:cs="Tms Rmn"/>
          <w:color w:val="000000"/>
          <w:sz w:val="26"/>
          <w:szCs w:val="26"/>
        </w:rPr>
        <w:br/>
        <w:t>Данилов В.В., Трофимов Д.А. Богомолов В.В. - о решении комиссий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21.12.2016 № М22-5932-И: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- 2, "воздержались"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21.12.2016 № М22-5961-И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согласовании использования изображения герба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 о решении комиссии по законодательству и местному самоуправлению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22.12.2016 № М22-5961-И: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22.12.2016 № М22-5961-И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Положения о порядке осуществления органами местного самоуправления Великого Новгорода полномочий по реализации Федерального закона </w:t>
      </w:r>
      <w:r>
        <w:rPr>
          <w:rFonts w:ascii="Tms Rmn" w:hAnsi="Tms Rmn" w:cs="Tms Rmn"/>
          <w:color w:val="000000"/>
          <w:sz w:val="26"/>
          <w:szCs w:val="26"/>
        </w:rPr>
        <w:br/>
        <w:t>"О рекламе" (второе чтение)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самоуправлению - решение не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принято;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по жилищному хозяйству, архитектуре и землепользованию -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- озвучил поправку, внесенную Председателем Думы Великого Новгорода от 22.12.2016 № 1522;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Демидов К.Д. - озвучил поправку, внесенную заместителем Председателя Думы Великого Новгорода от 27.12.2016 № 1548; о наличии в проекте решения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озвучил поправку, внесенную им (от 27.12.2016 № 98);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возможном рассмотрении поправки, внесенной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на следующем заседании Думы;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во втором чтении: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- 2;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Председателя Думы Великого Новгорода от 22.12.2016 № 1522: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- 5, "воздержались" - нет;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заместителя Председателя Думы Великого Новгорода Демидова К.Д. от 27.12.2016 № 1548: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- 1;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поправку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от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27.10.2016 № 98: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- 2, "против" - 17, "воздержались" - 6;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5) за проект решения во втором чтении (в целом) с учетом поправок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22.12.2016 № 1522, заместителя Председателя Думы Великого Новгорода Демидова К.Д. от 27.12.2016 №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1548: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 - 22, "против" - 2, "воздержались" - 2;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во втором чтении (в целом) с учетом поправок Председателя Думы Великого Новгорода от 22.12.2016 № 1522, заместителя Председателя Думы Великого Новгорода Демидова К.Д. от 27.12.2016 № 1548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Осипов Анатолий Алексеевич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таблицу 1 Методики определения арендной платы за муниципальное недвижимое имущество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20.12.2016 № М22-5905-И: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- 2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Гетманский А.В.)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20.12.2016 № М22-5905-И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29.12.2015 № 705 "О бюджете Великого Новгорода на 2016 год"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финансам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 принимать проект решения;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не принимать проект решения;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определиться на заседании Думы;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определиться на заседании Думы;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проект решения;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поддержать проект решения;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- о решении фракции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Панов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М.А. - о решении фракции - не принимать проект решения;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26.12.2016 № 1834: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- 5, "воздержались" - 2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26.12.2016 № 1834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2017 году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учетом поправки Администрации Великого Новгорода от 23.12.2016 № М22-6006-И: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23.12.2016 № М22-6006-И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предоставлении муниципальной преференции муниципальному унитарному предприятию Великого Новгорода "Новгородский водоканал"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Трофимов Д.А. -  о решении комиссий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не голосовали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отмене решения Думы Великого Новгорода от 21.11.2016 </w:t>
      </w:r>
      <w:r>
        <w:rPr>
          <w:rFonts w:ascii="Tms Rmn" w:hAnsi="Tms Rmn" w:cs="Tms Rmn"/>
          <w:color w:val="000000"/>
          <w:sz w:val="26"/>
          <w:szCs w:val="26"/>
        </w:rPr>
        <w:br/>
        <w:t>№ 987 "О целесообразности заключения концессионного соглашения"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Богомолов В.В. - о решении комиссий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представления Администрацией Великого Новгорода депутатам Думы Великого Новгорода инвестиционной программы по строительству полигона ТБО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- 2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стипендии имени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С.В. Рахманинова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выявлении в проекте решения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факторов; о необходимости принятия проекта решения в первом чтении;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- принять проект решения в первом чтении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в первом чтении: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 о муниципальной стипендии одаренным детям и молодежи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 о решении комиссии - принять проект решения в первом чтении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в первом чтении: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базовой суммы для расчёта размера пожизненной ренты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26.07.2015 № 549 «О Порядке материального стимулирования членов народных дружин Великого Новгорода»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комиссии по законодательству и местному самоуправлению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23.12.2016 № М22-6003-И: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- 2,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23.12.2016 № М22-6003-И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01.03.2016 № 749 "Об установлении дополнительной меры социальной поддержки студентов 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 - о решении комиссии по экономике и финансам - принять проект решения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29.03.2012 № 1223 "О мерах социальной поддержки семей в связи с одновременным рождением двух детей"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-16, "против" - 6, "воздержались" - 3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бюджете Великого  Новгорода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2018 и 2019 годов" (первое чтение)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работе согласительной комиссии по вопросам формирования проекта бюджета Великого Новгорода на 2017 год и на плановый период 2018 и 2019 годов;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необходимости разработки стратегии по развитию областного центра;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проведения заседания круглого стола по вопросу разработки стратегии по развитию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города;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представлении в январе 2016 года откорректированного графика погашения  задолженности за потребленный газ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необходимости продолжить работу согласительной комиссии по формированию бюджета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Мостовщиков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озвучил предложения прокуратуры Великого Новгорода в бюджет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27.12.2016 № 1862: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- 6,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27.12.2016 № 1862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2017 год и на плановый период 2018 и 2019 годов (второе чтение)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- о решении фракции - не поддерживать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Панов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М.А. - о решении фракции - поддержать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проет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Букетов В.О. - о решении фракции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В.В. - о необходимости продолжить работу согласительной комиссии по формированию бюджета Великого Новгорода;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Минина В.В. - о необходимости разработки стратегии по развитию областного центра (в частности, о необходимости развития жилищного строительства; о необходимости привлечения субъектов малого бизнеса в сферу социального предпринимательства и сферу предоставления услуг населению и т.д.);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вопросах, связанных с формированием бюджета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- 6,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на должность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отсутствовали Трофимов Д.А., Гетманский А.В.,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Контрольно-счетной палатой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"Почётный гражданин Великого Новгорода"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Председателя Думы Великого Новгорода от 22.12.2016 № 1521: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нет, "воздержались" - 5, "не голосовали"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отсутствовали Богомолов В.В., Гетманский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Великого Новгорода от 22.12.2016 № 1521, с учетом письма Администрации Великого Новгорода от 26.12.2016 </w:t>
      </w:r>
      <w:r>
        <w:rPr>
          <w:rFonts w:ascii="Tms Rmn" w:hAnsi="Tms Rmn" w:cs="Tms Rmn"/>
          <w:color w:val="000000"/>
          <w:sz w:val="26"/>
          <w:szCs w:val="26"/>
        </w:rPr>
        <w:br/>
        <w:t>№ М22-6025-И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Плана работы Думы Великого Новгорода на I полугодие 2017 года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отсутствовали Богомолов В.В., Гетманский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Трофимов Д.А.)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22 - 51 отсутствовали Богомолов В.В., Гетманский А.В., Трофимов Д.А.)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включении в состав Общественного совета при Думе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Чернов Алексей Алексеевич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- 2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Межведомственного совета по противодействию коррупции при Думе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отсутствовали Золотарев С.В., Поплавский Г.Е.)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почётным знаком "За заслуги перед Великим Новгородом"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- 1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26 - 51 отсутствовал Золотарев С.В.)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Молодежного парламента при Новгородской областной Думе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Председателя Думы Великого Новгорода от 28.12.2016 № 1553: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- 3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28.12.2016 № 1553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скверу, расположенному вдоль больничных корпусов по Яковлева улице в квартале 94 (Софийская сторона)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- 2,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общественной комиссии по жилищным вопросам при Администрации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депутатов Думы Великого Новгорода в состав рабочей группы для рассмотрения вопроса о целесообразности заключения концессионных соглашений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заместителя Председателя Думы Великого Новгорода от 27.12.2016 № 1550: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 с поправкой заместителя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27.12.2016 № 1550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Избирательной комиссией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Игоревич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досрочном прекращении полномочий депутата Думы Великого Новгорода Еремина В.А.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03.02.2016 № 714 "Об установлении коэффициентов для расчета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Великого Новгорода"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О протокольном решении Думы Великого Новгорода о поручении постоянной комиссии по законодательству и местному самоуправлению Думы Великого Новгорода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комиссии по законодательству и местному самоуправлению Думы Великого Новгорода подготовить и внести на рассмотрение Думы Великого Новгорода в первом полугодии 2017 года проект решения Думы об утверждении Положения о порядке отбора кандидатур для подготовки представления о занесении сведений в Книгу почёта Новгородской области".</w:t>
      </w:r>
    </w:p>
    <w:p w:rsidR="00940776" w:rsidRDefault="00940776" w:rsidP="0094077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40776" w:rsidRDefault="00940776" w:rsidP="0094077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940776">
        <w:tc>
          <w:tcPr>
            <w:tcW w:w="3543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40776" w:rsidRDefault="009407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203778" w:rsidRDefault="00203778"/>
    <w:sectPr w:rsidR="0020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76"/>
    <w:rsid w:val="00203778"/>
    <w:rsid w:val="0094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9EBCF-4BF1-41A8-9110-D9181CB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4438</Words>
  <Characters>25301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2017-01-25T06:35:00Z</dcterms:created>
  <dcterms:modified xsi:type="dcterms:W3CDTF">2017-01-25T06:36:00Z</dcterms:modified>
</cp:coreProperties>
</file>