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64B1E" w:rsidRDefault="00164B1E" w:rsidP="00164B1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29.02.2016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49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164B1E">
        <w:tc>
          <w:tcPr>
            <w:tcW w:w="351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4B1E">
        <w:tc>
          <w:tcPr>
            <w:tcW w:w="3510" w:type="dxa"/>
          </w:tcPr>
          <w:p w:rsidR="00164B1E" w:rsidRDefault="00164B1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64B1E" w:rsidRDefault="00164B1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164B1E" w:rsidRDefault="00164B1E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164B1E" w:rsidRDefault="00164B1E" w:rsidP="00164B1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164B1E">
        <w:tc>
          <w:tcPr>
            <w:tcW w:w="3429" w:type="dxa"/>
          </w:tcPr>
          <w:p w:rsidR="00164B1E" w:rsidRDefault="00164B1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В.О. Букетов, К.Д. Демидов</w:t>
            </w:r>
          </w:p>
        </w:tc>
      </w:tr>
      <w:tr w:rsidR="00164B1E">
        <w:tc>
          <w:tcPr>
            <w:tcW w:w="3429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164B1E" w:rsidRDefault="00164B1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Старостин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164B1E">
        <w:tc>
          <w:tcPr>
            <w:tcW w:w="3429" w:type="dxa"/>
          </w:tcPr>
          <w:p w:rsidR="00164B1E" w:rsidRDefault="00164B1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164B1E" w:rsidRDefault="00164B1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</w:tc>
      </w:tr>
      <w:tr w:rsidR="00164B1E">
        <w:tc>
          <w:tcPr>
            <w:tcW w:w="3429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164B1E">
        <w:tc>
          <w:tcPr>
            <w:tcW w:w="3429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Лысенко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Ильин М.Е., Жохова Н.И.</w:t>
            </w:r>
          </w:p>
        </w:tc>
      </w:tr>
    </w:tbl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64B1E">
        <w:tc>
          <w:tcPr>
            <w:tcW w:w="342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Кузиков Е.И., Еремин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Трофимов Д.А., Чернов А.А.</w:t>
            </w:r>
          </w:p>
        </w:tc>
      </w:tr>
    </w:tbl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64B1E" w:rsidRDefault="00164B1E" w:rsidP="00164B1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64B1E" w:rsidRDefault="00164B1E" w:rsidP="00164B1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Минина В.В.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Губернатора Новгородской области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Дубровина Т.С.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прокурора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градостроительства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Соколов Р.В.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к решению Думы Великого Новгорода от 28.03.2013 №1495 "О передаче муниципального имущества в залог"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дополнительной меры социальной поддержки студентов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расходов дорожного фонда муниципального образования - городского округа Великий Новгород на 2016 год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Великий Новгород (второе чтение)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организации и проведения конных аттракционов на территории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24.12.2015 № 695 "О дополнительной мере социальной поддержки по обеспечению бесплатным молоком некоторых категорий обучающихся"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Положения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комиссии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назначению пенсии за выслугу лет в Думе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  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назначению пенсии за выслугу лет в Думе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03.11.2015 № 633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24.12.2015 № 686 "О предложении о безвозмездной передаче в государственную собственность Новгородской области муниципального автономного учреждения дополнительного образования "Специализированная детско-юношеская спортивная школа олимпийского резерва "Манеж"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управлении информационного, финансового, материально-технического обеспечения аппарата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рабочей группы для определения финансовой потребности, видов работ по ремонту мостов и путепроводов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комиссии по землепользованию и застройке в Великом Новгороде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27.09.2013 № 5 "Об утверждении составов постоянных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>Думы Великого Новгорода пятого созыва"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Трояновском С.В. 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Почетной грамоте Думы Великого Новгорода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незавершенного строительством спортивного сооружения "Спортивный центр с универсальным игровым залом", находящегося в муниципальной собственности Великого Новгорода, в государственную собственность Новгородской области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2015 год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2015 год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164B1E" w:rsidRDefault="00164B1E" w:rsidP="00164B1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о наличии заявлений депутатов Думы Великого Новгорода Трофимова Д.А., Андреева И.А.. о том, что в связи с невозможностью их личного присутствия на заседании Думы 29.02.2016, они выразили свои волеизъявления, которые будут учтены при подведении окончательных итогов голосования (копия прилагается); 4) в связи с пребыванием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заместителя Председателя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Кузикова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Е.И. в отпуске и в связи с отсутствием по уважительной причине депутата Думы Великого Новгорода Еремина В.А. докладчиком по вопросам №№ 16 - 18, 30, 31 повестки заседания Думы выступит Тимофеев В.В.; 5) о включении в раздел "Разное" вопроса о результатах работы МУП Великого Новгорода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по концессионному соглашению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- 23, "против" - 1,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164B1E" w:rsidRDefault="00164B1E" w:rsidP="00164B1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решение Избирательной комиссии Великого Новгорода о передаче вакантного мандата депутата Думы Великого Новгорода пятого созыва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Алексею Николаевич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зарегистрированному кандидату из списка кандидатов, выдвинутого избирательным объединением "Новгородское региональное отделение Политической партии "Российская объединенная демократическая партия "ЯБЛОКО"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включении в раздел "Разное" вопроса </w:t>
      </w:r>
      <w:r>
        <w:rPr>
          <w:rFonts w:ascii="Times New Roman" w:hAnsi="Times New Roman" w:cs="Times New Roman"/>
          <w:color w:val="000000"/>
          <w:sz w:val="26"/>
          <w:szCs w:val="26"/>
        </w:rPr>
        <w:t>о результатах работы МУП Великого Новгорода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по концессионному соглашению</w:t>
      </w:r>
      <w:r>
        <w:rPr>
          <w:rFonts w:ascii="Tms Rmn" w:hAnsi="Tms Rmn" w:cs="Tms Rmn"/>
          <w:color w:val="000000"/>
          <w:sz w:val="26"/>
          <w:szCs w:val="26"/>
        </w:rPr>
        <w:t xml:space="preserve">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вопроса вначале заседания Думы Великого Новгорода: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- 10, "против" - 14,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Указанный вопрос рассмотреть после обсуждения основной повестки заседания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- о решении постоянных комиссий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поправок Администрации Великого Новгорода от 12.02.2016 № М22-515-И, от 26.02.2016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М22-695-И: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1 - 8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Великого Новгорода от 12.02.2016 № М22-515-И, от 26.02.2016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М22-695-И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к решению Думы Великого Новгорода от 28.03.2013 №1495 "О передаче муниципального имущества в залог"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- о решении постоянных комиссий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16.02.2016 № М22-549-И: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 с учетом поправки Администрации Великого Новгорода от 16.02.2016 № М22-549-И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дополнительной меры социальной поддержки студентов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выделения денежных средств из областного бюджета; о решении комиссии и решении фракции - поддержать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комиссии и решении фракции - поддержать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решение не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принято;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данный проект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завышении стоимости проездных билетов перевозчиками; о решении фракции - поддержать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 несогласии с механизмом, предложенным для компенсации проездных билетов; о необходимости внесения поправок в нормативные акты, регламентирующие городские перевозки;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необходимости представления информации по студентам (количество обучающихся по очной и заочной форме обучения, количество обучающихся на платной и бюджетной основе и т.д.)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проект решения с учетом поправок Председателя Думы Великого Новгорода от 11.03.2016 № 158; заместителя Председателя Думы Великого Новгорода от 16.02.2016 № 179; Администрации Великого Новгорода от 12.02.2016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М22-5135-И; от 19.02.2016 № М22-614-И: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Трофимова Д.А.)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с учетом поправок Председателя Думы Великого Новгорода от 11.03.2016 № 158; заместителя Председателя Думы Великого Новгорода от 16.02.2016 № 179; Администрации Великого Новгорода от 12.02.2016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М22-5135-И; от 19.02.2016 № М22-614-И.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в течение марта 2016 года внести изменения в правовые акты Администрации Великого Новгорода, регулирующие перевозки общественным транспортом на территории города".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29.12.2015 № 705 "О бюджете Великого Новгорода на 2016 год"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 реализации программы "Безопасный город" на территории города;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- о решении постоянных комиссий - поддержать данный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Ефимова О.А. - о решении комиссии - отклонить указанный проект решения и назначить заседание круглого стола в середине апреля 2016 года с целью обсуждения ответа Правительства Новгородской области на совместное обращение Думы и Администрации Великого Новгорода от 14.12.2015 № 1795 </w:t>
      </w:r>
      <w:r>
        <w:rPr>
          <w:rFonts w:ascii="Tms Rmn" w:hAnsi="Tms Rmn" w:cs="Tms Rmn"/>
          <w:color w:val="000000"/>
          <w:sz w:val="26"/>
          <w:szCs w:val="26"/>
        </w:rPr>
        <w:br/>
        <w:t>"О дополнительной финансовой потребности городского округа Великий Новгород на 2016 год"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на 2016 год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необходимости создания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комплексной  схемы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организации дорожного движения в городе;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- решение не принято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- 17, "против" - 3, "воздержались" - 4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принять проект решения с учетом поручений комиссии;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комиссии - принять проект решения с учетом поручений комиссий;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- принять проект решения с учетом поручений комиссий;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-о необходимости принятия Правил в новой редакции;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необходимости проведения заседания круглого стола по данному вопросу;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согласии с проведением заседания круглого стола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с учетом поправки Администрации Великого Новгорода от 24.02.2016 № М22-662-И: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нет;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Трофимова Д.А.)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№ 1: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протокольное решение № 2: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Данилов В.В.)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Администрации Великого Новгорода от 24.02.2016 № М22-662-И.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следующие протокольные решения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"Поручить Администрации Великого Новгорода подготовить совместное обращение за подписью Мэра Великого Новгорода и Председателя Думы Великого Новгорода в Правительство Новгородской области с просьбой перенести плоскостное сооружение (автодром) в части территориальной зоны Р.4 (зона активного отдыха в парках) в квартале 147 Великого Новгорода в границах, указанных на плане-схеме, утвержденном подпунктом 2.5 решения Новгородской городской Думы от 19.12.1996 </w:t>
      </w:r>
      <w:r>
        <w:rPr>
          <w:rFonts w:ascii="Tms Rmn" w:hAnsi="Tms Rmn" w:cs="Tms Rmn"/>
          <w:color w:val="000000"/>
          <w:sz w:val="26"/>
          <w:szCs w:val="26"/>
        </w:rPr>
        <w:br/>
        <w:t>№ 36".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"Поручить Администрации Великого Новгорода в течение двух месяцев провести заседание круглого стола по вопросу внесения изменений в Правила землепользования и застройки в Великом Новгороде с привлечением экспертов"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Великий Новгород (второе чтение)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о решении комиссии - поддержать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поддержать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необходимости доработки данного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Букетов В.О. - о необходимости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поправок Администрации Великого Новгорода от 15.01.2016 № 12; от 24.02.2016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М22-661-И, поправок комиссии по законодательству и местному самоуправлению Думы Великого Новгорода от 24.02.2016 № 203, от 26.02.2016 № 221: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- 5,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Великого Новгорода от 15.01.2016 № 12; от 24.02.2016 </w:t>
      </w:r>
      <w:r>
        <w:rPr>
          <w:rFonts w:ascii="Tms Rmn" w:hAnsi="Tms Rmn" w:cs="Tms Rmn"/>
          <w:color w:val="000000"/>
          <w:sz w:val="26"/>
          <w:szCs w:val="26"/>
        </w:rPr>
        <w:br/>
        <w:t>№ М22-661-И, поправки комиссии по законодательству и местному самоуправлению Думы Великого Новгорода от 24.02.2016 № 203, поправки депутата Думы Великого Новгорода Демидова К.Д. от 26.02.2016 № 221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Богомолов В.В. - о решении постоянных комиссий - принять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16.02.2016 № М22-549-И: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16.02.2016 № М22-549-И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организации и проведения конных аттракционов на территории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постоянных комиссий - поддержать данный проект решения;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регулирования движения автотранспорта на территории Кремлевского парка;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разработки Порядка движения транспортных средств на территории Кремлевского парка;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к середине мая 2016 года разработать Порядок организации движения транспортных средств на территории Кремлевского парка, порядок, регулирующий деятельность мобильных аттракционов (паровозик, электромобили, карета с лошадьми </w:t>
      </w:r>
      <w:r>
        <w:rPr>
          <w:rFonts w:ascii="Tms Rmn" w:hAnsi="Tms Rmn" w:cs="Tms Rmn"/>
          <w:color w:val="000000"/>
          <w:sz w:val="26"/>
          <w:szCs w:val="26"/>
        </w:rPr>
        <w:br/>
        <w:t>и т.д.)".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24.12.2015 № 695 "О дополнительной мере социальной поддержки по обеспечению бесплатным молоком некоторых категорий обучающихся"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 комиссии по назначению пенсии за выслугу лет в Думе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заместителя Председателя Думы Великого Новгорода Демидова К.Д. от 26.02.2016 № 218: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26.02.2016 № 218.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комиссии  по назначению пенсии за выслугу лет в Думе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заместителя Думы Великого Новгорода Демидова К.Д. от 19.02.2016 № 195: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нет, "воздержались" - 2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Думы Великого Новгорода Демидова К.Д. от 19.02.2016 № 195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03.11.2015 № 633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24.12.2015 № 686 "О предложении о безвозмездной передаче в государственную собственность Новгородской области муниципального автономного учреждения дополнительного образования "Специализированная детско-юношеская спортивная школа олимпийского резерва "Манеж"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- о решении постоянных комиссий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- 6,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управлении информационного, финансового, материально-технического обеспечения аппарата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рабочей группы для определения финансовой потребности, видов работ по ремонту мостов и путепроводов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Председатея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26.02.2016 № 220: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Председатея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26.02.2016 № 220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комиссии по землепользованию и застройке в Великом Новгороде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Демидов К.Д. - объявили о самоотводе своих кандидатур для включения в состав указанной комиссии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кандидатуру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Гетманского А.В.: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- 7,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принять, делегировав в состав указанной комиссии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Гетманского А.В.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20 - 29 отсутствовал Богомолов В.В.)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О.А.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23 - 31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27.09.2013 № 5 "Об утверждении составов постоянных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>Думы Великого Новгорода пятого созыва"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Трояновском С.В.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Почетной грамоте Думы Великого Новгорода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комиссии по экономике и финансам Думы Великого Новгорода от 26.02.2016 № 222: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с учетом поправки комиссии по экономике и финансам Думы Великого Новгорода от 26.02.2016 № 222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незавершенного строительством спортивного сооружения "Спортивный центр с универсальным игровым залом", находящегося в муниципальной собственности Великого Новгорода, в государственную собственность Новгородской области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постоянных комиссий - поддержать данный проект решения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- 1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за 2015 год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Иванович 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озвучил основные тезисы доклада; ответил на письменные и устные вопросы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вопросы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депутатов Думы Великого Новгорода;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об исполнении судебных решений по капитальному ремонту многоквартирных домов; озвучил позицию фракции ЛДПР - признать отчет неудовлетворительным; об основаниях, способствовавших удалению Мэра в отставку;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несогласии с заключением концессионного соглашения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предложении признания отчета - удовлетворительным;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 -  о позиции фракции "ЯБЛОКО" - поддержать отчет Мэра Великого Новгорода;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озвучила мнение фракции КПРФ - признать отчет удовлетворительным; о необходимости конструктивной совместной работы Администрации и Думы Великого Новгорода;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"Справедливая Россия" - признать отчет удовлетворительным;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"Единая Россия" - признать отчет удовлетворительным;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конструктивной совместной работы Администрации и Думы Великого Новгорода;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Минина В.В. - о работе Администрации Великого Новгорода; о снижении темпов роста заработной платы; о необходимости привлечения инвестиций; о положительной работе в сфере развития малого и среднего бизнеса; о необходимости принятия срочных мер по оплате задолженности за газ </w:t>
      </w:r>
      <w:r>
        <w:rPr>
          <w:rFonts w:ascii="Tms Rmn" w:hAnsi="Tms Rmn" w:cs="Tms Rmn"/>
          <w:color w:val="000000"/>
          <w:sz w:val="26"/>
          <w:szCs w:val="26"/>
        </w:rPr>
        <w:br/>
        <w:t>(в частности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");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активизации работы комитета архитектуры и градостроительства Администрации Великого Новгорода в части формирования земельных участков для продажи или для выставления на торги департаменту имущественных отношений Новгородской области; о необходимости завершения строительства спортивного сооружения "Спортивный центр с универсальным игровым залом", расположенного по Псковской ул., о необходимости осуществления перехода спортивной школы на реализацию программ спортивной подготовки, о проведении работы по созданию школьных клубов; об исполнении бюджета Великого Новгорода; об увеличении недоимки по налоговым поступлениям; об использовании не в полном объеме средств, выделяемых городу из областного бюджета (в частности на фонд реформирования жилищно-коммунального хозяйства,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неосвоение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средств на социальные выплаты молодым семьям </w:t>
      </w:r>
      <w:r>
        <w:rPr>
          <w:rFonts w:ascii="Tms Rmn" w:hAnsi="Tms Rmn" w:cs="Tms Rmn"/>
          <w:color w:val="000000"/>
          <w:sz w:val="26"/>
          <w:szCs w:val="26"/>
        </w:rPr>
        <w:br/>
        <w:t>и т.д.); о необходимости совместной работы Администрации Великого Новгорода и Правительства Новгородской области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2015 год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- 3, "воздержались" - 2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личных заявлений Андреева И.А., Золотарева С.В.)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Смирнова Г.Г.)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 следующей редакции: "Признать деятельность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2015 год удовлетворительной."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О рассмотрение вопроса о результатах работы </w:t>
      </w:r>
      <w:r>
        <w:rPr>
          <w:rFonts w:ascii="Tms Rmn" w:hAnsi="Tms Rmn" w:cs="Tms Rmn"/>
          <w:color w:val="000000"/>
          <w:sz w:val="26"/>
          <w:szCs w:val="26"/>
        </w:rPr>
        <w:br/>
        <w:t>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по концессионному соглашению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Щеголев Евгений Николаевич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Щеголев Е.Н. - озвучил информацию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финансовой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деятельности данного предприятия на настоящий момент; 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об убытках предприятия; о судебных решениях по погашению задолженности за газ; </w:t>
      </w:r>
      <w:r>
        <w:rPr>
          <w:rFonts w:ascii="Tms Rmn" w:hAnsi="Tms Rmn" w:cs="Tms Rmn"/>
          <w:color w:val="000000"/>
          <w:sz w:val="26"/>
          <w:szCs w:val="26"/>
        </w:rPr>
        <w:br/>
        <w:t>выразил несогласие с заключением концессионного соглашения;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- выразили несогласие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заключением данного концессионного соглашения; </w:t>
      </w:r>
      <w:r>
        <w:rPr>
          <w:rFonts w:ascii="Tms Rmn" w:hAnsi="Tms Rmn" w:cs="Tms Rmn"/>
          <w:color w:val="000000"/>
          <w:sz w:val="26"/>
          <w:szCs w:val="26"/>
        </w:rPr>
        <w:br/>
        <w:t>считают, что оно требует доработки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164B1E">
        <w:tc>
          <w:tcPr>
            <w:tcW w:w="3543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64B1E" w:rsidRDefault="00164B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164B1E" w:rsidRDefault="00164B1E" w:rsidP="00164B1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D5116A" w:rsidRDefault="00D5116A"/>
    <w:sectPr w:rsidR="00D5116A" w:rsidSect="007D2F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E3"/>
    <w:rsid w:val="00164B1E"/>
    <w:rsid w:val="00C935E3"/>
    <w:rsid w:val="00D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06C47-1819-4E3B-8CD6-313E4060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5044</Words>
  <Characters>28752</Characters>
  <Application>Microsoft Office Word</Application>
  <DocSecurity>0</DocSecurity>
  <Lines>239</Lines>
  <Paragraphs>67</Paragraphs>
  <ScaleCrop>false</ScaleCrop>
  <Company/>
  <LinksUpToDate>false</LinksUpToDate>
  <CharactersWithSpaces>33729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2016-03-04T06:18:00Z</dcterms:created>
  <dcterms:modified xsi:type="dcterms:W3CDTF">2016-03-04T06:18:00Z</dcterms:modified>
</cp:coreProperties>
</file>