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F6" w:rsidRDefault="00EA0BF6" w:rsidP="00EA0BF6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EA0BF6" w:rsidRDefault="00EA0BF6" w:rsidP="00EA0B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EA0BF6" w:rsidRDefault="00EA0BF6" w:rsidP="00EA0B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EA0BF6" w:rsidRDefault="00EA0BF6" w:rsidP="00EA0B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A0BF6" w:rsidRDefault="00EA0BF6" w:rsidP="00EA0B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EA0BF6" w:rsidRDefault="00EA0BF6" w:rsidP="00EA0B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BF6" w:rsidRDefault="00EA0BF6" w:rsidP="00EA0B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EA0BF6" w:rsidRDefault="00EA0BF6" w:rsidP="00EA0B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EA0BF6" w:rsidRDefault="00EA0BF6" w:rsidP="00EA0BF6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24.09.2015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39</w:t>
      </w:r>
    </w:p>
    <w:p w:rsidR="00EA0BF6" w:rsidRDefault="00EA0BF6" w:rsidP="00EA0BF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EA0BF6">
        <w:tc>
          <w:tcPr>
            <w:tcW w:w="3510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A0BF6">
        <w:tc>
          <w:tcPr>
            <w:tcW w:w="3510" w:type="dxa"/>
          </w:tcPr>
          <w:p w:rsidR="00EA0BF6" w:rsidRDefault="00EA0BF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EA0BF6" w:rsidRDefault="00EA0BF6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EA0BF6" w:rsidRDefault="00EA0BF6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EA0BF6" w:rsidRDefault="00EA0BF6" w:rsidP="00EA0BF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EA0BF6">
        <w:tc>
          <w:tcPr>
            <w:tcW w:w="3429" w:type="dxa"/>
          </w:tcPr>
          <w:p w:rsidR="00EA0BF6" w:rsidRDefault="00EA0BF6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EA0BF6">
        <w:tc>
          <w:tcPr>
            <w:tcW w:w="3429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EA0BF6" w:rsidRDefault="00EA0BF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Старостин А.В., Богомолов В.В., Букетов В.О.,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Еремин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        Ефимов А.В., Ефимова О.А.,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Поплавский Г.Е., Пшеницын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EA0BF6">
        <w:tc>
          <w:tcPr>
            <w:tcW w:w="3429" w:type="dxa"/>
          </w:tcPr>
          <w:p w:rsidR="00EA0BF6" w:rsidRDefault="00EA0BF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EA0BF6" w:rsidRDefault="00EA0BF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Е.А. Мостовщиков</w:t>
            </w:r>
          </w:p>
        </w:tc>
      </w:tr>
      <w:tr w:rsidR="00EA0BF6">
        <w:tc>
          <w:tcPr>
            <w:tcW w:w="3429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EA0BF6">
        <w:tc>
          <w:tcPr>
            <w:tcW w:w="3429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Кудряшова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А.В., Лысенко А.А., Жохова Н.И., Яковенко М.Н.</w:t>
            </w:r>
          </w:p>
        </w:tc>
      </w:tr>
    </w:tbl>
    <w:p w:rsidR="00EA0BF6" w:rsidRDefault="00EA0BF6" w:rsidP="00EA0BF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EA0BF6" w:rsidRDefault="00EA0BF6" w:rsidP="00EA0BF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EA0BF6">
        <w:tc>
          <w:tcPr>
            <w:tcW w:w="3420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Данилов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Смирнова Г.Г., Трояновский С.В.</w:t>
            </w:r>
          </w:p>
        </w:tc>
      </w:tr>
    </w:tbl>
    <w:p w:rsidR="00EA0BF6" w:rsidRDefault="00EA0BF6" w:rsidP="00EA0BF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EA0BF6" w:rsidRDefault="00EA0BF6" w:rsidP="00EA0BF6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EA0BF6" w:rsidRDefault="00EA0BF6" w:rsidP="00EA0BF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Алексашкин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Ездакова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Ю.С.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административного управления Администрации Великого Новгорода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А.В.</w:t>
      </w:r>
      <w:r>
        <w:rPr>
          <w:rFonts w:ascii="Tms Rmn" w:hAnsi="Tms Rmn" w:cs="Tms Rmn"/>
          <w:color w:val="000000"/>
          <w:sz w:val="26"/>
          <w:szCs w:val="26"/>
        </w:rPr>
        <w:tab/>
        <w:t>- консультант Мэра Великого Новгорода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архитектуры, градостроительства и земельных ресурсов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Жуковский А.И.</w:t>
      </w:r>
      <w:r>
        <w:rPr>
          <w:rFonts w:ascii="Tms Rmn" w:hAnsi="Tms Rmn" w:cs="Tms Rmn"/>
          <w:color w:val="000000"/>
          <w:sz w:val="26"/>
          <w:szCs w:val="26"/>
        </w:rPr>
        <w:tab/>
        <w:t>- социолог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Калашникова С.Б.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местного самоуправления и городского хозяйства МАУ «Редакция газеты «Новгород»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Маркова Н.В.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Матвеева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Назаров С.И.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Великого Новгорода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Сергеева О.В.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депутата Новгородской областной Думы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Тарасов А.А.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Халепо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Шимановский М.И.</w:t>
      </w:r>
      <w:r>
        <w:rPr>
          <w:rFonts w:ascii="Tms Rmn" w:hAnsi="Tms Rmn" w:cs="Tms Rmn"/>
          <w:color w:val="000000"/>
          <w:sz w:val="26"/>
          <w:szCs w:val="26"/>
        </w:rPr>
        <w:tab/>
        <w:t>- политтехнолог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EA0BF6" w:rsidRDefault="00EA0BF6" w:rsidP="00EA0BF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EA0BF6" w:rsidRDefault="00EA0BF6" w:rsidP="00EA0BF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26.08.2015 № 561</w:t>
      </w:r>
    </w:p>
    <w:p w:rsidR="00EA0BF6" w:rsidRDefault="00EA0BF6" w:rsidP="00EA0B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EA0BF6" w:rsidRDefault="00EA0BF6" w:rsidP="00EA0B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Тимофеев В.В. - проинформировал депутатов Думы о наличии заявления депутата Думы Великого Новгорода Данилова В.В. о том, что в связи с невозможностью его личного присутствия на внеочередном заседании Думы 24.09.2015, он выразили свое волеизъявление, которое будет учтено при подведении окончательных итогов голосования (копия прилагается)</w:t>
      </w:r>
    </w:p>
    <w:p w:rsidR="00EA0BF6" w:rsidRDefault="00EA0BF6" w:rsidP="00EA0BF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- 25, "против" - нет, "воздержались" - нет</w:t>
      </w:r>
    </w:p>
    <w:p w:rsidR="00EA0BF6" w:rsidRDefault="00EA0BF6" w:rsidP="00EA0BF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26.08.2015 № 561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несогласии разделения полномочий комитета архитектуры, градостроительства и земельных ресурсов;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о содержании поправки Думы Великого Новгорода в проект решения; о наличии и сути заключения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прокуратуры Великого Новгорода на внесенную Думой Великого Новгорода поправку в проект решения; о неоднозначности и спорности ситуации, связанной с внесением поправки; о направлении в комитет Государственной Думы по федеративному устройству и вопросам местного самоуправления письма о разъяснении действующего законодательства; о снятии поправки; о предложении Администрации Великого Новгорода снять с рассмотрения вопрос до момента получения разъяснения из Государственной Думы;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несогласии с позицией о снятии проекта решения с рассмотрения; о несогласии со структурой Администрации Великого Новгорода, утвержденной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Думы Великого Новгорода в августе 2015 года;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несогласии принятия данного проекта решения; о несогласии с позицией Мэра Великого Новгорода о том, что утверждение структуры Администрации Великого Новгорода является одновременно способом распределения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полномочий;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решении комиссии  по жилищному хозяйству, архитектуре и землепользованию - определиться на заседании Думы;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законодательству и местному самоуправлению - отклонить проект решения;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 - о решении комиссии по социальным вопросам - отклонить проект решения;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комиссии по экономике и финансам - отклонить проект решения;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Ефимова О.А. - о решении фракции - поддержать проект решения;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о решении фракции - отклонить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Букетов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В.О. - о решении фракции - отклонить проект решения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- 6, "против" - 19, "воздержались" - 1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депутата Думы Великого Новгорода Данилова В.В.)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отклонить</w:t>
      </w: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A0BF6" w:rsidRDefault="00EA0BF6" w:rsidP="00EA0BF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EA0BF6">
        <w:tc>
          <w:tcPr>
            <w:tcW w:w="3543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EA0BF6" w:rsidRDefault="00EA0BF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EA0BF6" w:rsidRDefault="00EA0BF6" w:rsidP="00EA0BF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977B64" w:rsidRDefault="00977B64"/>
    <w:sectPr w:rsidR="00977B64" w:rsidSect="001756B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F6"/>
    <w:rsid w:val="00977B64"/>
    <w:rsid w:val="00EA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15377-EEC5-4A52-B8BF-2EF90094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2015-10-05T08:31:00Z</dcterms:created>
  <dcterms:modified xsi:type="dcterms:W3CDTF">2015-10-05T08:32:00Z</dcterms:modified>
</cp:coreProperties>
</file>