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605C12" w:rsidRDefault="00605C12" w:rsidP="00605C12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13.09.2021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46</w:t>
      </w: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605C12">
        <w:tc>
          <w:tcPr>
            <w:tcW w:w="3429" w:type="dxa"/>
          </w:tcPr>
          <w:p w:rsidR="00605C12" w:rsidRDefault="00605C12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605C12" w:rsidRDefault="00605C12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комиссии </w:t>
            </w:r>
          </w:p>
        </w:tc>
      </w:tr>
    </w:tbl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426" w:type="dxa"/>
        <w:tblInd w:w="28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396"/>
        <w:gridCol w:w="6030"/>
      </w:tblGrid>
      <w:tr w:rsidR="00605C12" w:rsidTr="00605C12">
        <w:tc>
          <w:tcPr>
            <w:tcW w:w="3396" w:type="dxa"/>
          </w:tcPr>
          <w:p w:rsidR="00605C12" w:rsidRDefault="00605C12" w:rsidP="00605C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05C12" w:rsidTr="00605C12">
        <w:tc>
          <w:tcPr>
            <w:tcW w:w="3396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Бочаров Ю.В., Молоканов С.А., Середин Я.Е.,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  <w:tr w:rsidR="00605C12" w:rsidTr="00605C12">
        <w:tc>
          <w:tcPr>
            <w:tcW w:w="3396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605C12" w:rsidTr="00605C12">
        <w:tc>
          <w:tcPr>
            <w:tcW w:w="3396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Екимова С.С., Ульянова О.Н.</w:t>
            </w:r>
          </w:p>
        </w:tc>
      </w:tr>
    </w:tbl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605C12">
        <w:tc>
          <w:tcPr>
            <w:tcW w:w="342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Паянен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</w:tbl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605C12" w:rsidRDefault="00605C12" w:rsidP="00605C12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605C12" w:rsidRDefault="00605C12" w:rsidP="00605C1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Слюсарева Ю.А.</w:t>
      </w:r>
      <w:r>
        <w:rPr>
          <w:rFonts w:ascii="Tms Rmn" w:hAnsi="Tms Rmn" w:cs="Tms Rmn"/>
          <w:color w:val="000000"/>
          <w:sz w:val="26"/>
          <w:szCs w:val="26"/>
        </w:rPr>
        <w:tab/>
        <w:t>- старший помощник прокурора Великого Новгорода</w:t>
      </w: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Положения о муниципальном контроле в сфере благоустройства на территории муниципального образования - городского округа Великий Новгород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Порядок материального стимулирования членов народных дружин Великого Новгорода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  Порядок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перечисления в бюджет Великого Новгорода части прибыли от использования имущества, закрепленного на праве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хозяйственного ведения за муниципальными унитарными предприятиями Великого Новгорода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24.12.2020 </w:t>
      </w:r>
      <w:r>
        <w:rPr>
          <w:rFonts w:ascii="Tms Rmn" w:hAnsi="Tms Rmn" w:cs="Tms Rmn"/>
          <w:color w:val="000000"/>
          <w:sz w:val="26"/>
          <w:szCs w:val="26"/>
        </w:rPr>
        <w:br/>
        <w:t>№ 513 "О бюджете Великого Новгорода на 2021 год и на плановый период 2022 и 2023 годов"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- городского округа Великий Новгород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Положения о муниципальном земельном контроле на территории муниципального образования - городского округа Великий Новгород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Контрольно-счетной палате Великого Новгорода</w:t>
      </w:r>
    </w:p>
    <w:p w:rsidR="00605C12" w:rsidRDefault="00605C12" w:rsidP="00605C1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Устав муниципального образования – городского округа Великий Новгород</w:t>
      </w:r>
    </w:p>
    <w:p w:rsidR="00605C12" w:rsidRDefault="00605C12" w:rsidP="00605C12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муниципального образования - городского округа Великий Новгород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Юрий Владимирович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Порядок материального стимулирования членов народных дружин Великого Новгорода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Ю.В.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 Порядок перечисления в бюджет Великого Новгорода части прибыли от использования имущества, закрепленного на праве хозяйственного ведения за муниципальными унитарными предприятиями Великого Новгорода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Молоканов Сергей Александрович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24.12.2020 № 513 "О бюджете Великого Новгорода на 2021 год и на плановый период 2022 и 2023 годов"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Середин Ярослав Евгеньевич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- городского округа Великий Новгород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Середин Я.Е.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Положения о муниципальном земельном контроле на территории муниципального образования - городского округа Великий Новгород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Демидов Константин Дмитриевич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Контрольно-счетной палате Великого Новгорода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Tms Rmn" w:hAnsi="Tms Rmn" w:cs="Tms Rmn"/>
          <w:color w:val="000000"/>
          <w:sz w:val="26"/>
          <w:szCs w:val="26"/>
        </w:rPr>
        <w:t>Докладчик:Демидов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К.Д.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Устав муниципального образования – городского округа Великий Новгород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Сигарев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Юрий Алексеевич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- 5, "против" - нет, "воздержались" - нет</w:t>
      </w: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В представленном проекте решения Думы Великого Новгорода положений, способствующих созданию условий для проявления коррупции, не выявлено </w:t>
      </w:r>
    </w:p>
    <w:p w:rsidR="00605C12" w:rsidRDefault="00605C12" w:rsidP="00605C1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05C12" w:rsidRDefault="00605C12" w:rsidP="00605C1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605C12">
        <w:tc>
          <w:tcPr>
            <w:tcW w:w="5109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570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605C12" w:rsidRDefault="00605C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Демидов К.Д.</w:t>
            </w:r>
          </w:p>
        </w:tc>
      </w:tr>
    </w:tbl>
    <w:p w:rsidR="005032D6" w:rsidRDefault="00605C12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5"/>
    <w:rsid w:val="003277C9"/>
    <w:rsid w:val="00354D85"/>
    <w:rsid w:val="00605C12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AA04-0BA6-4A21-A8B2-7993CC53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2021-09-21T05:48:00Z</dcterms:created>
  <dcterms:modified xsi:type="dcterms:W3CDTF">2021-09-21T05:49:00Z</dcterms:modified>
</cp:coreProperties>
</file>